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4828"/>
        <w:gridCol w:w="743"/>
      </w:tblGrid>
      <w:tr w:rsidR="00AE33D8">
        <w:trPr>
          <w:gridAfter w:val="1"/>
          <w:wAfter w:w="743" w:type="dxa"/>
          <w:jc w:val="center"/>
        </w:trPr>
        <w:tc>
          <w:tcPr>
            <w:tcW w:w="8077" w:type="dxa"/>
            <w:gridSpan w:val="2"/>
          </w:tcPr>
          <w:p w:rsidR="00AE33D8" w:rsidRDefault="00AE33D8">
            <w:pPr>
              <w:rPr>
                <w:rFonts w:ascii="Arial" w:hAnsi="Arial"/>
                <w:b/>
                <w:bCs/>
                <w:rtl/>
              </w:rPr>
            </w:pPr>
            <w:bookmarkStart w:id="0" w:name="_GoBack"/>
            <w:bookmarkEnd w:id="0"/>
            <w:r>
              <w:rPr>
                <w:rFonts w:ascii="Arial" w:hAnsi="Arial" w:hint="cs"/>
                <w:b/>
                <w:bCs/>
                <w:rtl/>
              </w:rPr>
              <w:t>לפני 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איריס אילוטוביץ' סגל</w:t>
                </w:r>
              </w:sdtContent>
            </w:sdt>
          </w:p>
          <w:p w:rsidR="00AE33D8" w:rsidRDefault="00AE33D8">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tcPr>
              <w:p w:rsidR="002914D6" w:rsidRDefault="00AE33D8" w:rsidP="00AE33D8">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gridSpan w:val="2"/>
          </w:tcPr>
          <w:p w:rsidR="002914D6" w:rsidRDefault="00BD5B6B" w:rsidP="00F4638A">
            <w:pPr>
              <w:spacing w:line="360" w:lineRule="auto"/>
              <w:rPr>
                <w:b/>
                <w:bCs/>
                <w:noProof w:val="0"/>
                <w:sz w:val="26"/>
                <w:szCs w:val="26"/>
                <w:rtl/>
              </w:rPr>
            </w:pPr>
            <w:r>
              <w:rPr>
                <w:b/>
                <w:bCs/>
                <w:noProof w:val="0"/>
                <w:sz w:val="26"/>
                <w:szCs w:val="26"/>
                <w:rtl/>
              </w:rPr>
              <w:t xml:space="preserve"> </w:t>
            </w:r>
            <w:r w:rsidR="00F4638A">
              <w:rPr>
                <w:rFonts w:hint="cs"/>
                <w:b/>
                <w:bCs/>
                <w:noProof w:val="0"/>
                <w:sz w:val="26"/>
                <w:szCs w:val="26"/>
                <w:rtl/>
              </w:rPr>
              <w:t>ט.ט.</w:t>
            </w:r>
          </w:p>
          <w:p w:rsidR="004F275E" w:rsidRPr="004F275E" w:rsidRDefault="004F275E" w:rsidP="004F275E">
            <w:pPr>
              <w:spacing w:line="360" w:lineRule="auto"/>
              <w:rPr>
                <w:b/>
                <w:bCs/>
                <w:noProof w:val="0"/>
              </w:rPr>
            </w:pPr>
            <w:r>
              <w:rPr>
                <w:rFonts w:hint="cs"/>
                <w:b/>
                <w:bCs/>
                <w:noProof w:val="0"/>
                <w:rtl/>
              </w:rPr>
              <w:t xml:space="preserve"> </w:t>
            </w:r>
            <w:r w:rsidRPr="004F275E">
              <w:rPr>
                <w:rFonts w:hint="cs"/>
                <w:b/>
                <w:bCs/>
                <w:noProof w:val="0"/>
                <w:rtl/>
              </w:rPr>
              <w:t>על ידי ב"כ עורך הדין שמואל מורן ואח'</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tcPr>
          <w:p w:rsidR="002914D6" w:rsidRDefault="007440E9" w:rsidP="004F275E">
            <w:pPr>
              <w:spacing w:line="360" w:lineRule="auto"/>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נתבע</w:t>
                </w:r>
              </w:sdtContent>
            </w:sdt>
          </w:p>
        </w:tc>
        <w:tc>
          <w:tcPr>
            <w:tcW w:w="5571" w:type="dxa"/>
            <w:gridSpan w:val="2"/>
          </w:tcPr>
          <w:p w:rsidR="002914D6" w:rsidRPr="00F4638A" w:rsidRDefault="00F4638A" w:rsidP="004F275E">
            <w:pPr>
              <w:spacing w:line="360" w:lineRule="auto"/>
              <w:rPr>
                <w:b/>
                <w:bCs/>
                <w:noProof w:val="0"/>
                <w:sz w:val="26"/>
                <w:szCs w:val="26"/>
                <w:rtl/>
              </w:rPr>
            </w:pPr>
            <w:r w:rsidRPr="00F4638A">
              <w:rPr>
                <w:rStyle w:val="ac"/>
                <w:rFonts w:hint="cs"/>
                <w:b/>
                <w:bCs/>
                <w:color w:val="auto"/>
                <w:sz w:val="26"/>
                <w:szCs w:val="26"/>
                <w:rtl/>
              </w:rPr>
              <w:t>א.ט.</w:t>
            </w:r>
          </w:p>
        </w:tc>
      </w:tr>
    </w:tbl>
    <w:p w:rsidR="002914D6" w:rsidRPr="004F275E" w:rsidRDefault="004F275E" w:rsidP="004F275E">
      <w:pPr>
        <w:spacing w:line="360" w:lineRule="auto"/>
        <w:rPr>
          <w:b/>
          <w:bCs/>
        </w:rPr>
      </w:pPr>
      <w:r>
        <w:rPr>
          <w:rtl/>
        </w:rPr>
        <w:tab/>
      </w:r>
      <w:r>
        <w:rPr>
          <w:rtl/>
        </w:rPr>
        <w:tab/>
      </w:r>
      <w:r>
        <w:rPr>
          <w:rtl/>
        </w:rPr>
        <w:tab/>
      </w:r>
      <w:r>
        <w:rPr>
          <w:rtl/>
        </w:rPr>
        <w:tab/>
      </w:r>
      <w:r>
        <w:rPr>
          <w:rFonts w:hint="cs"/>
          <w:rtl/>
        </w:rPr>
        <w:t xml:space="preserve">       </w:t>
      </w:r>
      <w:r w:rsidRPr="004F275E">
        <w:rPr>
          <w:rFonts w:hint="cs"/>
          <w:b/>
          <w:bCs/>
          <w:rtl/>
        </w:rPr>
        <w:t>על ידי ב"כ עורך הדין יצחק הלוי</w:t>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8"/>
                <w:szCs w:val="28"/>
                <w:u w:val="single"/>
              </w:rPr>
            </w:pPr>
          </w:p>
        </w:tc>
      </w:tr>
    </w:tbl>
    <w:p w:rsidR="00AE33D8" w:rsidRPr="00AE33D8" w:rsidRDefault="00AE33D8" w:rsidP="00AE33D8">
      <w:pPr>
        <w:spacing w:after="120" w:line="276" w:lineRule="auto"/>
        <w:rPr>
          <w:rtl/>
        </w:rPr>
      </w:pPr>
    </w:p>
    <w:tbl>
      <w:tblPr>
        <w:bidiVisual/>
        <w:tblW w:w="8623" w:type="dxa"/>
        <w:jc w:val="center"/>
        <w:tblLook w:val="01E0" w:firstRow="1" w:lastRow="1" w:firstColumn="1" w:lastColumn="1" w:noHBand="0" w:noVBand="0"/>
      </w:tblPr>
      <w:tblGrid>
        <w:gridCol w:w="8623"/>
      </w:tblGrid>
      <w:tr w:rsidR="00AE33D8" w:rsidRPr="00AE33D8" w:rsidTr="00AE33D8">
        <w:trPr>
          <w:trHeight w:val="850"/>
          <w:jc w:val="center"/>
        </w:trPr>
        <w:tc>
          <w:tcPr>
            <w:tcW w:w="8623" w:type="dxa"/>
            <w:hideMark/>
          </w:tcPr>
          <w:p w:rsidR="00AE33D8" w:rsidRPr="00AE33D8" w:rsidRDefault="00AE33D8" w:rsidP="00AE33D8">
            <w:pPr>
              <w:bidi w:val="0"/>
              <w:spacing w:after="120" w:line="276" w:lineRule="auto"/>
              <w:jc w:val="center"/>
              <w:rPr>
                <w:rFonts w:ascii="Arial" w:hAnsi="Arial"/>
                <w:b/>
                <w:bCs/>
                <w:noProof w:val="0"/>
                <w:sz w:val="28"/>
                <w:szCs w:val="28"/>
                <w:u w:val="single"/>
              </w:rPr>
            </w:pPr>
            <w:r w:rsidRPr="00AE33D8">
              <w:rPr>
                <w:rFonts w:ascii="Arial" w:hAnsi="Arial"/>
                <w:b/>
                <w:bCs/>
                <w:noProof w:val="0"/>
                <w:sz w:val="28"/>
                <w:szCs w:val="28"/>
                <w:u w:val="single"/>
                <w:rtl/>
              </w:rPr>
              <w:t>פסק דין</w:t>
            </w:r>
          </w:p>
        </w:tc>
      </w:tr>
    </w:tbl>
    <w:p w:rsidR="00AE33D8" w:rsidRPr="00AE33D8" w:rsidRDefault="00AE33D8" w:rsidP="00AE33D8">
      <w:pPr>
        <w:spacing w:after="120" w:line="360" w:lineRule="auto"/>
        <w:jc w:val="both"/>
        <w:rPr>
          <w:rFonts w:ascii="Arial" w:hAnsi="Arial"/>
          <w:noProof w:val="0"/>
        </w:rPr>
      </w:pPr>
      <w:r w:rsidRPr="00AE33D8">
        <w:rPr>
          <w:rFonts w:ascii="Arial" w:hAnsi="Arial"/>
          <w:noProof w:val="0"/>
          <w:rtl/>
        </w:rPr>
        <w:t>לפניי תביעה לפסיקת מזונות עבור אישה ושלושה ילדים קטינים.</w:t>
      </w:r>
    </w:p>
    <w:p w:rsidR="00AE33D8" w:rsidRPr="00AE33D8" w:rsidRDefault="00AE33D8" w:rsidP="00AE33D8">
      <w:pPr>
        <w:spacing w:after="120" w:line="360" w:lineRule="auto"/>
        <w:jc w:val="both"/>
        <w:rPr>
          <w:rFonts w:ascii="Arial" w:hAnsi="Arial"/>
          <w:b/>
          <w:bCs/>
          <w:noProof w:val="0"/>
          <w:sz w:val="28"/>
          <w:szCs w:val="28"/>
          <w:u w:val="single"/>
          <w:rtl/>
        </w:rPr>
      </w:pPr>
      <w:r w:rsidRPr="00AE33D8">
        <w:rPr>
          <w:rFonts w:ascii="Arial" w:hAnsi="Arial"/>
          <w:b/>
          <w:bCs/>
          <w:noProof w:val="0"/>
          <w:sz w:val="28"/>
          <w:szCs w:val="28"/>
          <w:u w:val="single"/>
          <w:rtl/>
        </w:rPr>
        <w:t>העובדות בתמצית</w:t>
      </w:r>
    </w:p>
    <w:p w:rsidR="00AE33D8" w:rsidRPr="00AE33D8" w:rsidRDefault="00AE33D8" w:rsidP="00AE33D8">
      <w:pPr>
        <w:numPr>
          <w:ilvl w:val="0"/>
          <w:numId w:val="1"/>
        </w:numPr>
        <w:spacing w:after="120" w:line="240" w:lineRule="exact"/>
        <w:ind w:left="0" w:firstLine="0"/>
        <w:contextualSpacing/>
        <w:jc w:val="both"/>
        <w:rPr>
          <w:rFonts w:ascii="Arial" w:hAnsi="Arial"/>
          <w:noProof w:val="0"/>
          <w:rtl/>
        </w:rPr>
      </w:pPr>
      <w:r w:rsidRPr="00AE33D8">
        <w:rPr>
          <w:rFonts w:ascii="Arial" w:hAnsi="Arial"/>
          <w:noProof w:val="0"/>
          <w:rtl/>
        </w:rPr>
        <w:t>הצדדים נישאו כדמו"י זה לזו ביום 20.8.2008.</w:t>
      </w:r>
    </w:p>
    <w:p w:rsidR="00AE33D8" w:rsidRPr="00AE33D8" w:rsidRDefault="00AE33D8" w:rsidP="00AE33D8">
      <w:pPr>
        <w:spacing w:after="120" w:line="360" w:lineRule="auto"/>
        <w:contextualSpacing/>
        <w:jc w:val="both"/>
        <w:rPr>
          <w:rFonts w:ascii="Arial" w:hAnsi="Arial"/>
          <w:noProof w:val="0"/>
        </w:rPr>
      </w:pPr>
    </w:p>
    <w:p w:rsidR="00AE33D8" w:rsidRPr="00AE33D8" w:rsidRDefault="00AE33D8" w:rsidP="00AE33D8">
      <w:pPr>
        <w:numPr>
          <w:ilvl w:val="0"/>
          <w:numId w:val="1"/>
        </w:numPr>
        <w:spacing w:after="120" w:line="240" w:lineRule="exact"/>
        <w:ind w:left="0" w:firstLine="0"/>
        <w:contextualSpacing/>
        <w:jc w:val="both"/>
        <w:rPr>
          <w:rFonts w:ascii="Arial" w:hAnsi="Arial"/>
          <w:noProof w:val="0"/>
          <w:rtl/>
        </w:rPr>
      </w:pPr>
      <w:r w:rsidRPr="00AE33D8">
        <w:rPr>
          <w:rFonts w:ascii="Arial" w:hAnsi="Arial"/>
          <w:noProof w:val="0"/>
          <w:rtl/>
        </w:rPr>
        <w:t xml:space="preserve">לצדדים שלושה ילדים קטינים כמפורט להלן: </w:t>
      </w:r>
    </w:p>
    <w:p w:rsidR="00AE33D8" w:rsidRPr="00AE33D8" w:rsidRDefault="00AE33D8" w:rsidP="00AE33D8">
      <w:pPr>
        <w:spacing w:after="120" w:line="276" w:lineRule="auto"/>
        <w:contextualSpacing/>
        <w:rPr>
          <w:rFonts w:ascii="Arial" w:hAnsi="Arial"/>
          <w:noProof w:val="0"/>
        </w:rPr>
      </w:pPr>
    </w:p>
    <w:p w:rsidR="00AE33D8" w:rsidRPr="00AE33D8" w:rsidRDefault="00434EED" w:rsidP="00434EED">
      <w:pPr>
        <w:numPr>
          <w:ilvl w:val="0"/>
          <w:numId w:val="2"/>
        </w:numPr>
        <w:spacing w:after="120" w:line="360" w:lineRule="auto"/>
        <w:ind w:left="992" w:firstLine="0"/>
        <w:contextualSpacing/>
        <w:jc w:val="both"/>
        <w:rPr>
          <w:rFonts w:ascii="Arial" w:hAnsi="Arial"/>
          <w:b/>
          <w:bCs/>
          <w:noProof w:val="0"/>
          <w:rtl/>
        </w:rPr>
      </w:pPr>
      <w:r>
        <w:rPr>
          <w:rFonts w:ascii="Arial" w:hAnsi="Arial" w:hint="cs"/>
          <w:b/>
          <w:bCs/>
          <w:noProof w:val="0"/>
          <w:rtl/>
        </w:rPr>
        <w:t>ר.</w:t>
      </w:r>
      <w:r w:rsidR="00AE33D8" w:rsidRPr="00AE33D8">
        <w:rPr>
          <w:rFonts w:ascii="Arial" w:hAnsi="Arial"/>
          <w:b/>
          <w:bCs/>
          <w:noProof w:val="0"/>
          <w:rtl/>
        </w:rPr>
        <w:t xml:space="preserve"> (יליד </w:t>
      </w:r>
      <w:r>
        <w:rPr>
          <w:rFonts w:ascii="Arial" w:hAnsi="Arial" w:hint="cs"/>
          <w:b/>
          <w:bCs/>
          <w:noProof w:val="0"/>
          <w:rtl/>
        </w:rPr>
        <w:t>____</w:t>
      </w:r>
      <w:r w:rsidR="00AE33D8" w:rsidRPr="00AE33D8">
        <w:rPr>
          <w:rFonts w:ascii="Arial" w:hAnsi="Arial"/>
          <w:b/>
          <w:bCs/>
          <w:noProof w:val="0"/>
          <w:rtl/>
        </w:rPr>
        <w:t>) - כבן 13 שנים.</w:t>
      </w:r>
    </w:p>
    <w:p w:rsidR="00AE33D8" w:rsidRPr="00AE33D8" w:rsidRDefault="00434EED" w:rsidP="00434EED">
      <w:pPr>
        <w:numPr>
          <w:ilvl w:val="0"/>
          <w:numId w:val="2"/>
        </w:numPr>
        <w:spacing w:after="120" w:line="360" w:lineRule="auto"/>
        <w:ind w:left="708" w:firstLine="284"/>
        <w:contextualSpacing/>
        <w:jc w:val="both"/>
        <w:rPr>
          <w:rFonts w:ascii="Arial" w:hAnsi="Arial"/>
          <w:b/>
          <w:bCs/>
          <w:noProof w:val="0"/>
          <w:rtl/>
        </w:rPr>
      </w:pPr>
      <w:r>
        <w:rPr>
          <w:rFonts w:ascii="Arial" w:hAnsi="Arial" w:hint="cs"/>
          <w:b/>
          <w:bCs/>
          <w:noProof w:val="0"/>
          <w:rtl/>
        </w:rPr>
        <w:t>ל.</w:t>
      </w:r>
      <w:r w:rsidR="00AE33D8" w:rsidRPr="00AE33D8">
        <w:rPr>
          <w:rFonts w:ascii="Arial" w:hAnsi="Arial"/>
          <w:b/>
          <w:bCs/>
          <w:noProof w:val="0"/>
          <w:rtl/>
        </w:rPr>
        <w:t xml:space="preserve"> (ילידת </w:t>
      </w:r>
      <w:r>
        <w:rPr>
          <w:rFonts w:ascii="Arial" w:hAnsi="Arial" w:hint="cs"/>
          <w:b/>
          <w:bCs/>
          <w:noProof w:val="0"/>
          <w:rtl/>
        </w:rPr>
        <w:t>____</w:t>
      </w:r>
      <w:r w:rsidR="00AE33D8" w:rsidRPr="00AE33D8">
        <w:rPr>
          <w:rFonts w:ascii="Arial" w:hAnsi="Arial"/>
          <w:b/>
          <w:bCs/>
          <w:noProof w:val="0"/>
          <w:rtl/>
        </w:rPr>
        <w:t xml:space="preserve">) - כבת 10 וחצי שנים. </w:t>
      </w:r>
    </w:p>
    <w:p w:rsidR="00AE33D8" w:rsidRPr="00AE33D8" w:rsidRDefault="00AE33D8" w:rsidP="00434EED">
      <w:pPr>
        <w:numPr>
          <w:ilvl w:val="0"/>
          <w:numId w:val="2"/>
        </w:numPr>
        <w:spacing w:after="240" w:line="360" w:lineRule="auto"/>
        <w:ind w:left="850" w:firstLine="142"/>
        <w:contextualSpacing/>
        <w:jc w:val="both"/>
        <w:rPr>
          <w:rFonts w:ascii="Arial" w:hAnsi="Arial"/>
          <w:b/>
          <w:bCs/>
          <w:noProof w:val="0"/>
          <w:rtl/>
        </w:rPr>
      </w:pPr>
      <w:r w:rsidRPr="00AE33D8">
        <w:rPr>
          <w:rFonts w:ascii="Arial" w:hAnsi="Arial"/>
          <w:b/>
          <w:bCs/>
          <w:noProof w:val="0"/>
          <w:rtl/>
        </w:rPr>
        <w:t>א</w:t>
      </w:r>
      <w:r w:rsidR="00434EED">
        <w:rPr>
          <w:rFonts w:ascii="Arial" w:hAnsi="Arial" w:hint="cs"/>
          <w:b/>
          <w:bCs/>
          <w:noProof w:val="0"/>
          <w:rtl/>
        </w:rPr>
        <w:t>.</w:t>
      </w:r>
      <w:r w:rsidRPr="00AE33D8">
        <w:rPr>
          <w:rFonts w:ascii="Arial" w:hAnsi="Arial"/>
          <w:b/>
          <w:bCs/>
          <w:noProof w:val="0"/>
          <w:rtl/>
        </w:rPr>
        <w:t xml:space="preserve"> (ילידת </w:t>
      </w:r>
      <w:r w:rsidR="00434EED">
        <w:rPr>
          <w:rFonts w:ascii="Arial" w:hAnsi="Arial" w:hint="cs"/>
          <w:b/>
          <w:bCs/>
          <w:noProof w:val="0"/>
          <w:rtl/>
        </w:rPr>
        <w:t>____</w:t>
      </w:r>
      <w:r w:rsidRPr="00AE33D8">
        <w:rPr>
          <w:rFonts w:ascii="Arial" w:hAnsi="Arial"/>
          <w:b/>
          <w:bCs/>
          <w:noProof w:val="0"/>
          <w:rtl/>
        </w:rPr>
        <w:t>) - כבת 5 שנים</w:t>
      </w:r>
      <w:r w:rsidRPr="00AE33D8">
        <w:rPr>
          <w:rFonts w:ascii="Arial" w:hAnsi="Arial"/>
          <w:b/>
          <w:bCs/>
          <w:noProof w:val="0"/>
          <w:rtl/>
        </w:rPr>
        <w:tab/>
        <w:t>(להלן – "הקטינים").</w:t>
      </w:r>
    </w:p>
    <w:p w:rsidR="00AE33D8" w:rsidRPr="00AE33D8" w:rsidRDefault="00AE33D8" w:rsidP="00AE33D8">
      <w:pPr>
        <w:spacing w:line="360" w:lineRule="auto"/>
        <w:contextualSpacing/>
        <w:jc w:val="both"/>
        <w:rPr>
          <w:rFonts w:ascii="Arial" w:hAnsi="Arial"/>
          <w:b/>
          <w:bCs/>
          <w:noProof w:val="0"/>
        </w:rPr>
      </w:pPr>
    </w:p>
    <w:p w:rsidR="00AE33D8" w:rsidRPr="00AE33D8" w:rsidRDefault="00AE33D8" w:rsidP="00E400B2">
      <w:pPr>
        <w:numPr>
          <w:ilvl w:val="0"/>
          <w:numId w:val="1"/>
        </w:numPr>
        <w:tabs>
          <w:tab w:val="left" w:pos="141"/>
        </w:tabs>
        <w:spacing w:after="120" w:line="360" w:lineRule="auto"/>
        <w:ind w:left="0" w:firstLine="0"/>
        <w:contextualSpacing/>
        <w:jc w:val="both"/>
        <w:rPr>
          <w:rFonts w:ascii="Arial" w:hAnsi="Arial"/>
          <w:noProof w:val="0"/>
          <w:rtl/>
        </w:rPr>
      </w:pPr>
      <w:r w:rsidRPr="00AE33D8">
        <w:rPr>
          <w:rFonts w:ascii="Arial" w:hAnsi="Arial"/>
          <w:noProof w:val="0"/>
          <w:rtl/>
        </w:rPr>
        <w:t xml:space="preserve">בני הזוג התגוררו עד לפרוץ המשבר ביניהם, בבית מגורים משותף ברחוב </w:t>
      </w:r>
      <w:r w:rsidR="00434EED">
        <w:rPr>
          <w:rFonts w:ascii="Arial" w:hAnsi="Arial"/>
          <w:noProof w:val="0"/>
        </w:rPr>
        <w:t xml:space="preserve"> </w:t>
      </w:r>
      <w:r w:rsidR="00E400B2">
        <w:rPr>
          <w:rFonts w:ascii="Arial" w:hAnsi="Arial" w:hint="cs"/>
          <w:noProof w:val="0"/>
        </w:rPr>
        <w:t>YYY</w:t>
      </w:r>
      <w:r w:rsidR="00434EED">
        <w:rPr>
          <w:rFonts w:ascii="Arial" w:hAnsi="Arial" w:hint="cs"/>
          <w:noProof w:val="0"/>
        </w:rPr>
        <w:t xml:space="preserve"> </w:t>
      </w:r>
      <w:r w:rsidR="00434EED">
        <w:rPr>
          <w:rFonts w:ascii="Arial" w:hAnsi="Arial" w:hint="cs"/>
          <w:noProof w:val="0"/>
          <w:rtl/>
        </w:rPr>
        <w:t>ב</w:t>
      </w:r>
      <w:r w:rsidRPr="00AE33D8">
        <w:rPr>
          <w:rFonts w:ascii="Arial" w:hAnsi="Arial"/>
          <w:noProof w:val="0"/>
          <w:rtl/>
        </w:rPr>
        <w:t>הרצליה</w:t>
      </w:r>
      <w:r w:rsidRPr="00AE33D8">
        <w:rPr>
          <w:rFonts w:ascii="Arial" w:hAnsi="Arial"/>
          <w:noProof w:val="0"/>
          <w:rtl/>
        </w:rPr>
        <w:tab/>
        <w:t>(להלן - "</w:t>
      </w:r>
      <w:r w:rsidRPr="00AE33D8">
        <w:rPr>
          <w:rFonts w:ascii="Arial" w:hAnsi="Arial"/>
          <w:b/>
          <w:bCs/>
          <w:noProof w:val="0"/>
          <w:rtl/>
        </w:rPr>
        <w:t>בית המגורים</w:t>
      </w:r>
      <w:r w:rsidRPr="00AE33D8">
        <w:rPr>
          <w:rFonts w:ascii="Arial" w:hAnsi="Arial"/>
          <w:noProof w:val="0"/>
          <w:rtl/>
        </w:rPr>
        <w:t xml:space="preserve">").  על בית המגורים רובצת הלוואת משכנתה, שהחזרה החודשי עומד בסך של כ- 8,715 ₪ (להלן- </w:t>
      </w:r>
      <w:r w:rsidRPr="00AE33D8">
        <w:rPr>
          <w:rFonts w:ascii="Arial" w:hAnsi="Arial"/>
          <w:b/>
          <w:bCs/>
          <w:noProof w:val="0"/>
          <w:rtl/>
        </w:rPr>
        <w:t>"החזר המשכנתה"</w:t>
      </w:r>
      <w:r w:rsidRPr="00AE33D8">
        <w:rPr>
          <w:rFonts w:ascii="Arial" w:hAnsi="Arial"/>
          <w:noProof w:val="0"/>
          <w:rtl/>
        </w:rPr>
        <w:t xml:space="preserve">). </w:t>
      </w:r>
    </w:p>
    <w:p w:rsidR="00AE33D8" w:rsidRPr="00AE33D8" w:rsidRDefault="00AE33D8" w:rsidP="00AE33D8">
      <w:pPr>
        <w:spacing w:after="120" w:line="360" w:lineRule="auto"/>
        <w:contextualSpacing/>
        <w:rPr>
          <w:rFonts w:ascii="Arial" w:hAnsi="Arial"/>
          <w:noProof w:val="0"/>
        </w:rPr>
      </w:pPr>
    </w:p>
    <w:p w:rsidR="00AE33D8" w:rsidRPr="00AE33D8" w:rsidRDefault="00AE33D8" w:rsidP="00AE33D8">
      <w:pPr>
        <w:numPr>
          <w:ilvl w:val="0"/>
          <w:numId w:val="1"/>
        </w:numPr>
        <w:spacing w:after="120" w:line="360" w:lineRule="auto"/>
        <w:ind w:left="0" w:firstLine="0"/>
        <w:contextualSpacing/>
        <w:jc w:val="both"/>
        <w:rPr>
          <w:rFonts w:ascii="Arial" w:hAnsi="Arial"/>
          <w:noProof w:val="0"/>
          <w:rtl/>
        </w:rPr>
      </w:pPr>
      <w:r w:rsidRPr="00AE33D8">
        <w:rPr>
          <w:rFonts w:ascii="Arial" w:hAnsi="Arial"/>
          <w:noProof w:val="0"/>
          <w:rtl/>
        </w:rPr>
        <w:t xml:space="preserve">כיום מתגורר הנתבע בשכירות בדירה בהרצליה בסמוך לבית המגורים, ומשלם דמי שכירות בסך של 6,750 ₪ לחודש. </w:t>
      </w:r>
    </w:p>
    <w:p w:rsidR="00AE33D8" w:rsidRPr="00AE33D8" w:rsidRDefault="00AE33D8" w:rsidP="00AE33D8">
      <w:pPr>
        <w:spacing w:after="120" w:line="276" w:lineRule="auto"/>
        <w:contextualSpacing/>
        <w:rPr>
          <w:rFonts w:ascii="Arial" w:hAnsi="Arial"/>
          <w:noProof w:val="0"/>
        </w:rPr>
      </w:pPr>
    </w:p>
    <w:p w:rsidR="00AE33D8" w:rsidRPr="00AE33D8" w:rsidRDefault="00AE33D8" w:rsidP="00AE33D8">
      <w:pPr>
        <w:numPr>
          <w:ilvl w:val="0"/>
          <w:numId w:val="1"/>
        </w:numPr>
        <w:spacing w:after="120" w:line="360" w:lineRule="auto"/>
        <w:ind w:left="0" w:firstLine="0"/>
        <w:contextualSpacing/>
        <w:jc w:val="both"/>
        <w:rPr>
          <w:rFonts w:ascii="Arial" w:hAnsi="Arial"/>
          <w:noProof w:val="0"/>
          <w:rtl/>
        </w:rPr>
      </w:pPr>
      <w:r w:rsidRPr="00AE33D8">
        <w:rPr>
          <w:rFonts w:ascii="Arial" w:hAnsi="Arial"/>
          <w:noProof w:val="0"/>
          <w:rtl/>
        </w:rPr>
        <w:t xml:space="preserve">מאז הפירוד, באוקטובר 2020, גיבשו הצדדים הסכמות בכל הנוגע לזמני השהות עם הקטינים, שלפיהן הקטינים שוהים 57% מזמנם עם התובעת ו-43% מזמנם שוהים הקטינים עם הנתבע. הסכמות אלו קיבלו תוקף של פסק דין ביום 9.12.2019 בתיק י"ס 13157-10-19.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spacing w:after="240" w:line="360" w:lineRule="auto"/>
        <w:contextualSpacing/>
        <w:jc w:val="both"/>
        <w:rPr>
          <w:rFonts w:ascii="Arial" w:hAnsi="Arial"/>
          <w:b/>
          <w:bCs/>
          <w:noProof w:val="0"/>
          <w:sz w:val="28"/>
          <w:szCs w:val="28"/>
          <w:u w:val="single"/>
          <w:rtl/>
        </w:rPr>
      </w:pPr>
      <w:r w:rsidRPr="00AE33D8">
        <w:rPr>
          <w:rFonts w:ascii="Arial" w:hAnsi="Arial"/>
          <w:b/>
          <w:bCs/>
          <w:noProof w:val="0"/>
          <w:sz w:val="28"/>
          <w:szCs w:val="28"/>
          <w:u w:val="single"/>
          <w:rtl/>
        </w:rPr>
        <w:lastRenderedPageBreak/>
        <w:t>ההחלטה למזונות זמנים</w:t>
      </w:r>
    </w:p>
    <w:p w:rsidR="00AE33D8" w:rsidRPr="00AE33D8" w:rsidRDefault="00AE33D8" w:rsidP="00AE33D8">
      <w:pPr>
        <w:numPr>
          <w:ilvl w:val="0"/>
          <w:numId w:val="1"/>
        </w:numPr>
        <w:spacing w:after="120" w:line="360" w:lineRule="auto"/>
        <w:ind w:left="0" w:firstLine="0"/>
        <w:contextualSpacing/>
        <w:jc w:val="both"/>
        <w:rPr>
          <w:rFonts w:ascii="Arial" w:hAnsi="Arial"/>
          <w:noProof w:val="0"/>
          <w:rtl/>
        </w:rPr>
      </w:pPr>
      <w:r w:rsidRPr="00AE33D8">
        <w:rPr>
          <w:rFonts w:ascii="Arial" w:hAnsi="Arial"/>
          <w:noProof w:val="0"/>
          <w:rtl/>
        </w:rPr>
        <w:t xml:space="preserve">ביום 6.2.2021 ניתנה החלטה למזונות זמניים (להלן- </w:t>
      </w:r>
      <w:r w:rsidRPr="00AE33D8">
        <w:rPr>
          <w:rFonts w:ascii="Arial" w:hAnsi="Arial"/>
          <w:b/>
          <w:bCs/>
          <w:noProof w:val="0"/>
          <w:rtl/>
        </w:rPr>
        <w:t>"ההחלטה"</w:t>
      </w:r>
      <w:r w:rsidRPr="00AE33D8">
        <w:rPr>
          <w:rFonts w:ascii="Arial" w:hAnsi="Arial"/>
          <w:noProof w:val="0"/>
          <w:rtl/>
        </w:rPr>
        <w:t xml:space="preserve">). </w:t>
      </w:r>
    </w:p>
    <w:p w:rsidR="00AE33D8" w:rsidRPr="00AE33D8" w:rsidRDefault="00AE33D8" w:rsidP="00AE33D8">
      <w:pPr>
        <w:spacing w:after="120" w:line="276" w:lineRule="auto"/>
        <w:contextualSpacing/>
        <w:jc w:val="both"/>
        <w:rPr>
          <w:rFonts w:ascii="Arial" w:hAnsi="Arial"/>
          <w:noProof w:val="0"/>
        </w:rPr>
      </w:pPr>
    </w:p>
    <w:p w:rsidR="00AE33D8" w:rsidRPr="00AE33D8" w:rsidRDefault="00AE33D8" w:rsidP="00AE33D8">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ההחלטה דחתה את בקשת התובעת למזונות אשה זמניים.</w:t>
      </w:r>
    </w:p>
    <w:p w:rsidR="00AE33D8" w:rsidRPr="00AE33D8" w:rsidRDefault="00AE33D8" w:rsidP="00AE33D8">
      <w:pPr>
        <w:spacing w:after="120" w:line="276" w:lineRule="auto"/>
        <w:contextualSpacing/>
        <w:rPr>
          <w:rFonts w:ascii="Arial" w:hAnsi="Arial"/>
          <w:noProof w:val="0"/>
        </w:rPr>
      </w:pPr>
    </w:p>
    <w:p w:rsidR="00AE33D8" w:rsidRPr="00AE33D8" w:rsidRDefault="00AE33D8" w:rsidP="00AE33D8">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בסעיפים 75 ו-79.5-79.1 להחלטה חויב הנתבע במזונות זמניים של הקטינים, לפי יחס ההכנסות שבין הצדדים, שהועמד דאז על 63% לנתבע ו-37% לתובעת:</w:t>
      </w:r>
    </w:p>
    <w:p w:rsidR="00AE33D8" w:rsidRPr="00AE33D8" w:rsidRDefault="00AE33D8" w:rsidP="00AE33D8">
      <w:pPr>
        <w:spacing w:after="120" w:line="276" w:lineRule="auto"/>
        <w:contextualSpacing/>
        <w:rPr>
          <w:rFonts w:ascii="Arial" w:hAnsi="Arial"/>
          <w:noProof w:val="0"/>
        </w:rPr>
      </w:pPr>
    </w:p>
    <w:p w:rsidR="00AE33D8" w:rsidRPr="00AE33D8" w:rsidRDefault="00AE33D8" w:rsidP="00434EED">
      <w:pPr>
        <w:numPr>
          <w:ilvl w:val="0"/>
          <w:numId w:val="3"/>
        </w:numPr>
        <w:spacing w:after="120" w:line="360" w:lineRule="auto"/>
        <w:ind w:left="1134" w:hanging="426"/>
        <w:contextualSpacing/>
        <w:jc w:val="both"/>
        <w:rPr>
          <w:rtl/>
        </w:rPr>
      </w:pPr>
      <w:r w:rsidRPr="00AE33D8">
        <w:rPr>
          <w:b/>
          <w:bCs/>
          <w:rtl/>
        </w:rPr>
        <w:t>בגין צרכים שהם תלויי שהות</w:t>
      </w:r>
      <w:r w:rsidRPr="00AE33D8">
        <w:rPr>
          <w:rtl/>
        </w:rPr>
        <w:t xml:space="preserve">  - סך של 2,000 ₪ עבור הקטינים </w:t>
      </w:r>
      <w:r w:rsidR="00434EED">
        <w:rPr>
          <w:rFonts w:hint="cs"/>
          <w:rtl/>
        </w:rPr>
        <w:t>ר.ו ל.</w:t>
      </w:r>
      <w:r w:rsidRPr="00AE33D8">
        <w:rPr>
          <w:rtl/>
        </w:rPr>
        <w:t xml:space="preserve"> (1,000 ₪ עבור כל קטין);</w:t>
      </w:r>
    </w:p>
    <w:p w:rsidR="00AE33D8" w:rsidRPr="00AE33D8" w:rsidRDefault="00AE33D8" w:rsidP="00434EED">
      <w:pPr>
        <w:numPr>
          <w:ilvl w:val="0"/>
          <w:numId w:val="3"/>
        </w:numPr>
        <w:spacing w:after="120" w:line="360" w:lineRule="auto"/>
        <w:ind w:left="1134" w:hanging="426"/>
        <w:contextualSpacing/>
        <w:jc w:val="both"/>
      </w:pPr>
      <w:r w:rsidRPr="00AE33D8">
        <w:rPr>
          <w:b/>
          <w:bCs/>
          <w:rtl/>
        </w:rPr>
        <w:t>בגין הצרכים שאינם תלויי שהות</w:t>
      </w:r>
      <w:r w:rsidRPr="00AE33D8">
        <w:rPr>
          <w:rtl/>
        </w:rPr>
        <w:t xml:space="preserve">  - סך של 1,600 ₪ עבור הקטינים </w:t>
      </w:r>
      <w:r w:rsidR="00434EED">
        <w:rPr>
          <w:rFonts w:hint="cs"/>
          <w:rtl/>
        </w:rPr>
        <w:t>ר. ו ל.</w:t>
      </w:r>
      <w:r w:rsidRPr="00AE33D8">
        <w:rPr>
          <w:rtl/>
        </w:rPr>
        <w:t xml:space="preserve"> (800 ₪ לכל קטין);</w:t>
      </w:r>
    </w:p>
    <w:p w:rsidR="00AE33D8" w:rsidRPr="00AE33D8" w:rsidRDefault="00AE33D8" w:rsidP="00434EED">
      <w:pPr>
        <w:numPr>
          <w:ilvl w:val="0"/>
          <w:numId w:val="3"/>
        </w:numPr>
        <w:spacing w:after="120" w:line="360" w:lineRule="auto"/>
        <w:ind w:left="1134" w:hanging="426"/>
        <w:contextualSpacing/>
        <w:jc w:val="both"/>
      </w:pPr>
      <w:r w:rsidRPr="00AE33D8">
        <w:rPr>
          <w:rtl/>
        </w:rPr>
        <w:t>סך של 2,400 ₪ עבור הקטינה א</w:t>
      </w:r>
      <w:r w:rsidR="00434EED">
        <w:rPr>
          <w:rFonts w:hint="cs"/>
          <w:rtl/>
        </w:rPr>
        <w:t>.</w:t>
      </w:r>
      <w:r w:rsidRPr="00AE33D8">
        <w:rPr>
          <w:rtl/>
        </w:rPr>
        <w:t>, שגילה מתחת לגיל שש שנים + 30% מחלקה של התובעת בהחזר המשכנתה;</w:t>
      </w:r>
    </w:p>
    <w:p w:rsidR="00AE33D8" w:rsidRDefault="00AE33D8" w:rsidP="00AE33D8">
      <w:pPr>
        <w:numPr>
          <w:ilvl w:val="0"/>
          <w:numId w:val="3"/>
        </w:numPr>
        <w:spacing w:after="120" w:line="360" w:lineRule="auto"/>
        <w:ind w:left="1134" w:hanging="426"/>
        <w:contextualSpacing/>
        <w:jc w:val="both"/>
      </w:pPr>
      <w:r w:rsidRPr="00AE33D8">
        <w:rPr>
          <w:b/>
          <w:bCs/>
          <w:rtl/>
        </w:rPr>
        <w:t>הוצאות חריגות</w:t>
      </w:r>
      <w:r w:rsidRPr="00AE33D8">
        <w:rPr>
          <w:rtl/>
        </w:rPr>
        <w:t xml:space="preserve">  - חיוב בשיעור של 63% מהוצאות החינוך, החוגים ובהוצאות רפואיות חריגות (כפי שפורטו בהחלטה).</w:t>
      </w:r>
    </w:p>
    <w:p w:rsidR="007F4384" w:rsidRPr="00AE33D8" w:rsidRDefault="007F4384" w:rsidP="007F4384">
      <w:pPr>
        <w:spacing w:after="120" w:line="360" w:lineRule="auto"/>
        <w:ind w:left="1134"/>
        <w:contextualSpacing/>
        <w:jc w:val="both"/>
      </w:pPr>
    </w:p>
    <w:p w:rsidR="00AE33D8" w:rsidRPr="00AE33D8" w:rsidRDefault="00AE33D8" w:rsidP="007F4384">
      <w:pPr>
        <w:numPr>
          <w:ilvl w:val="0"/>
          <w:numId w:val="1"/>
        </w:numPr>
        <w:spacing w:after="240" w:line="360" w:lineRule="auto"/>
        <w:ind w:left="0" w:firstLine="0"/>
        <w:jc w:val="both"/>
        <w:rPr>
          <w:rFonts w:ascii="Arial" w:hAnsi="Arial"/>
          <w:noProof w:val="0"/>
          <w:rtl/>
        </w:rPr>
      </w:pPr>
      <w:r w:rsidRPr="00AE33D8">
        <w:rPr>
          <w:rFonts w:ascii="Arial" w:hAnsi="Arial"/>
          <w:noProof w:val="0"/>
          <w:rtl/>
        </w:rPr>
        <w:t xml:space="preserve">בהחלטה מונה מומחה מטעם בית המשפט, רואה החשבון, מר רונן קידר (להלן- </w:t>
      </w:r>
      <w:r w:rsidRPr="00AE33D8">
        <w:rPr>
          <w:rFonts w:ascii="Arial" w:hAnsi="Arial"/>
          <w:b/>
          <w:bCs/>
          <w:noProof w:val="0"/>
          <w:rtl/>
        </w:rPr>
        <w:t>"המומחה"</w:t>
      </w:r>
      <w:r w:rsidRPr="00AE33D8">
        <w:rPr>
          <w:rFonts w:ascii="Arial" w:hAnsi="Arial"/>
          <w:noProof w:val="0"/>
          <w:rtl/>
        </w:rPr>
        <w:t>), לשם הערכת שווי הכנסות הצדדים מכל מקור שהוא, לרבות נכסי הצדדים.</w:t>
      </w:r>
    </w:p>
    <w:p w:rsidR="00AE33D8" w:rsidRPr="00AE33D8" w:rsidRDefault="00AE33D8" w:rsidP="007F4384">
      <w:pPr>
        <w:numPr>
          <w:ilvl w:val="0"/>
          <w:numId w:val="1"/>
        </w:numPr>
        <w:spacing w:after="240" w:line="360" w:lineRule="auto"/>
        <w:ind w:left="0" w:firstLine="0"/>
        <w:jc w:val="both"/>
        <w:rPr>
          <w:rFonts w:ascii="Arial" w:hAnsi="Arial"/>
          <w:noProof w:val="0"/>
        </w:rPr>
      </w:pPr>
      <w:r w:rsidRPr="00AE33D8">
        <w:rPr>
          <w:rFonts w:ascii="Arial" w:hAnsi="Arial"/>
          <w:noProof w:val="0"/>
          <w:rtl/>
        </w:rPr>
        <w:t xml:space="preserve">ביום 8.8.2021 הוגשה חוות דעת המומחה (להלן: </w:t>
      </w:r>
      <w:r w:rsidRPr="00AE33D8">
        <w:rPr>
          <w:rFonts w:ascii="Arial" w:hAnsi="Arial"/>
          <w:b/>
          <w:bCs/>
          <w:noProof w:val="0"/>
          <w:rtl/>
        </w:rPr>
        <w:t>"חוות הדעת"</w:t>
      </w:r>
      <w:r w:rsidRPr="00AE33D8">
        <w:rPr>
          <w:rFonts w:ascii="Arial" w:hAnsi="Arial"/>
          <w:noProof w:val="0"/>
          <w:rtl/>
        </w:rPr>
        <w:t>).</w:t>
      </w:r>
    </w:p>
    <w:p w:rsidR="00AE33D8" w:rsidRPr="00AE33D8" w:rsidRDefault="00AE33D8" w:rsidP="007F4384">
      <w:pPr>
        <w:numPr>
          <w:ilvl w:val="0"/>
          <w:numId w:val="1"/>
        </w:numPr>
        <w:spacing w:after="240" w:line="360" w:lineRule="auto"/>
        <w:ind w:left="0" w:firstLine="0"/>
        <w:jc w:val="both"/>
        <w:rPr>
          <w:rFonts w:ascii="Arial" w:hAnsi="Arial"/>
          <w:noProof w:val="0"/>
        </w:rPr>
      </w:pPr>
      <w:r w:rsidRPr="00AE33D8">
        <w:rPr>
          <w:rFonts w:ascii="Arial" w:hAnsi="Arial"/>
          <w:noProof w:val="0"/>
          <w:rtl/>
        </w:rPr>
        <w:t>המומחה לא נחקר על חוות הדעת שהוגשה לתיק.</w:t>
      </w:r>
    </w:p>
    <w:p w:rsidR="00AE33D8" w:rsidRPr="00AE33D8" w:rsidRDefault="00AE33D8" w:rsidP="007F4384">
      <w:pPr>
        <w:numPr>
          <w:ilvl w:val="0"/>
          <w:numId w:val="1"/>
        </w:numPr>
        <w:spacing w:after="240" w:line="360" w:lineRule="auto"/>
        <w:ind w:left="0" w:firstLine="0"/>
        <w:jc w:val="both"/>
        <w:rPr>
          <w:rFonts w:ascii="Arial" w:hAnsi="Arial"/>
          <w:noProof w:val="0"/>
        </w:rPr>
      </w:pPr>
      <w:r w:rsidRPr="00AE33D8">
        <w:rPr>
          <w:rFonts w:ascii="Arial" w:hAnsi="Arial"/>
          <w:noProof w:val="0"/>
          <w:rtl/>
        </w:rPr>
        <w:t>ביום 6.12.2022 התקיים דיון הוכחות (להלן- "</w:t>
      </w:r>
      <w:r w:rsidRPr="00AE33D8">
        <w:rPr>
          <w:rFonts w:ascii="Arial" w:hAnsi="Arial"/>
          <w:b/>
          <w:bCs/>
          <w:noProof w:val="0"/>
          <w:rtl/>
        </w:rPr>
        <w:t>הפרוטוקול</w:t>
      </w:r>
      <w:r w:rsidRPr="00AE33D8">
        <w:rPr>
          <w:rFonts w:ascii="Arial" w:hAnsi="Arial"/>
          <w:noProof w:val="0"/>
          <w:rtl/>
        </w:rPr>
        <w:t>").</w:t>
      </w:r>
    </w:p>
    <w:p w:rsidR="00AE33D8" w:rsidRPr="00AE33D8" w:rsidRDefault="00AE33D8" w:rsidP="007F4384">
      <w:pPr>
        <w:numPr>
          <w:ilvl w:val="0"/>
          <w:numId w:val="1"/>
        </w:numPr>
        <w:spacing w:after="240" w:line="360" w:lineRule="auto"/>
        <w:ind w:left="0" w:firstLine="0"/>
        <w:jc w:val="both"/>
        <w:rPr>
          <w:rFonts w:ascii="Arial" w:hAnsi="Arial"/>
          <w:noProof w:val="0"/>
        </w:rPr>
      </w:pPr>
      <w:r w:rsidRPr="00AE33D8">
        <w:rPr>
          <w:rFonts w:ascii="Arial" w:hAnsi="Arial"/>
          <w:noProof w:val="0"/>
          <w:rtl/>
        </w:rPr>
        <w:t>הצדדים הגישו סיכומיהם לתיק, ועתה הגיעה העת להכריע.</w:t>
      </w:r>
    </w:p>
    <w:p w:rsidR="00AE33D8" w:rsidRPr="00AE33D8" w:rsidRDefault="00AE33D8" w:rsidP="00AE33D8">
      <w:pPr>
        <w:spacing w:after="240" w:line="360" w:lineRule="auto"/>
        <w:jc w:val="both"/>
        <w:rPr>
          <w:rFonts w:ascii="Arial" w:hAnsi="Arial"/>
          <w:b/>
          <w:bCs/>
          <w:noProof w:val="0"/>
          <w:sz w:val="28"/>
          <w:szCs w:val="28"/>
          <w:u w:val="single"/>
        </w:rPr>
      </w:pPr>
      <w:r w:rsidRPr="00AE33D8">
        <w:rPr>
          <w:rFonts w:ascii="Arial" w:hAnsi="Arial"/>
          <w:b/>
          <w:bCs/>
          <w:noProof w:val="0"/>
          <w:sz w:val="28"/>
          <w:szCs w:val="28"/>
          <w:u w:val="single"/>
          <w:rtl/>
        </w:rPr>
        <w:t>טענות התובעת</w:t>
      </w:r>
    </w:p>
    <w:p w:rsidR="00AE33D8" w:rsidRPr="00AE33D8" w:rsidRDefault="00AE33D8" w:rsidP="00434EED">
      <w:pPr>
        <w:tabs>
          <w:tab w:val="left" w:pos="0"/>
        </w:tabs>
        <w:spacing w:after="100" w:afterAutospacing="1" w:line="360" w:lineRule="auto"/>
        <w:contextualSpacing/>
        <w:jc w:val="both"/>
        <w:rPr>
          <w:rFonts w:ascii="Arial" w:hAnsi="Arial"/>
          <w:noProof w:val="0"/>
          <w:highlight w:val="yellow"/>
        </w:rPr>
      </w:pPr>
      <w:r w:rsidRPr="00AE33D8">
        <w:rPr>
          <w:rFonts w:ascii="Arial" w:hAnsi="Arial"/>
          <w:noProof w:val="0"/>
          <w:rtl/>
        </w:rPr>
        <w:t>13.</w:t>
      </w:r>
      <w:r w:rsidRPr="00AE33D8">
        <w:rPr>
          <w:rFonts w:ascii="Arial" w:hAnsi="Arial"/>
          <w:noProof w:val="0"/>
          <w:rtl/>
        </w:rPr>
        <w:tab/>
        <w:t xml:space="preserve">התובעת עובדת כשכירה בעסקו של אביה, חברת </w:t>
      </w:r>
      <w:r w:rsidR="00434EED">
        <w:rPr>
          <w:rFonts w:ascii="Arial" w:hAnsi="Arial" w:hint="cs"/>
          <w:noProof w:val="0"/>
        </w:rPr>
        <w:t>XXX</w:t>
      </w:r>
      <w:r w:rsidRPr="00AE33D8">
        <w:rPr>
          <w:rFonts w:ascii="Arial" w:hAnsi="Arial"/>
          <w:noProof w:val="0"/>
          <w:rtl/>
        </w:rPr>
        <w:t xml:space="preserve"> בע"מ (להלן- "</w:t>
      </w:r>
      <w:r w:rsidRPr="00AE33D8">
        <w:rPr>
          <w:rFonts w:ascii="Arial" w:hAnsi="Arial"/>
          <w:b/>
          <w:bCs/>
          <w:noProof w:val="0"/>
          <w:rtl/>
        </w:rPr>
        <w:t>העסק</w:t>
      </w:r>
      <w:r w:rsidRPr="00AE33D8">
        <w:rPr>
          <w:rFonts w:ascii="Arial" w:hAnsi="Arial"/>
          <w:noProof w:val="0"/>
          <w:rtl/>
        </w:rPr>
        <w:t>"), ומשתכרת שכר חודשי בסך של כ- 8,870 ₪ נטו. בנוסף, מקבלת תוספת שווי רכב בסך חודשי של 3,190 ₪, המגולם בתלוש משכורתה לצורך חישוב מס כחוק.</w:t>
      </w:r>
    </w:p>
    <w:p w:rsidR="00AE33D8" w:rsidRPr="00AE33D8" w:rsidRDefault="00AE33D8" w:rsidP="00AE33D8">
      <w:pPr>
        <w:spacing w:after="100" w:afterAutospacing="1" w:line="360" w:lineRule="auto"/>
        <w:contextualSpacing/>
        <w:jc w:val="both"/>
        <w:rPr>
          <w:rFonts w:ascii="Arial" w:hAnsi="Arial"/>
          <w:noProof w:val="0"/>
        </w:rPr>
      </w:pPr>
    </w:p>
    <w:p w:rsidR="00AE33D8" w:rsidRPr="00AE33D8" w:rsidRDefault="00AE33D8" w:rsidP="007F4384">
      <w:pPr>
        <w:numPr>
          <w:ilvl w:val="0"/>
          <w:numId w:val="1"/>
        </w:numPr>
        <w:spacing w:after="100" w:afterAutospacing="1" w:line="360" w:lineRule="auto"/>
        <w:ind w:left="0" w:firstLine="0"/>
        <w:contextualSpacing/>
        <w:jc w:val="both"/>
        <w:rPr>
          <w:rFonts w:ascii="Arial" w:hAnsi="Arial"/>
          <w:noProof w:val="0"/>
        </w:rPr>
      </w:pPr>
      <w:r w:rsidRPr="00AE33D8">
        <w:rPr>
          <w:rFonts w:ascii="Arial" w:hAnsi="Arial"/>
          <w:noProof w:val="0"/>
          <w:rtl/>
        </w:rPr>
        <w:lastRenderedPageBreak/>
        <w:t xml:space="preserve">הנתבע הוא איש עסקים, משקיע ויזם נדל"ן. הכנסותיו הן רבות וגבוהות ומגיעות ממספר מקורות: מחברות שבבעלותו, מדמי שכירות אותם הוא גובה מנכסי הנדל"ן שבבעלותו ומנכסים מניבים נוספים. </w:t>
      </w:r>
    </w:p>
    <w:p w:rsidR="00AE33D8" w:rsidRPr="00AE33D8" w:rsidRDefault="00AE33D8" w:rsidP="007F4384">
      <w:pPr>
        <w:spacing w:after="120" w:line="276" w:lineRule="auto"/>
        <w:contextualSpacing/>
        <w:rPr>
          <w:rFonts w:ascii="Arial" w:hAnsi="Arial"/>
          <w:noProof w:val="0"/>
        </w:rPr>
      </w:pPr>
    </w:p>
    <w:p w:rsidR="00AE33D8" w:rsidRPr="00AE33D8" w:rsidRDefault="00AE33D8" w:rsidP="007F4384">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רמת החיים הרלוונטית לעניין פסיקת מזונות הקטינים - היא רמת החיים שלה הורגלה המשפחה בטרם המשבר.</w:t>
      </w:r>
      <w:r w:rsidRPr="00AE33D8">
        <w:rPr>
          <w:rtl/>
        </w:rPr>
        <w:t xml:space="preserve"> </w:t>
      </w:r>
      <w:r w:rsidRPr="00AE33D8">
        <w:rPr>
          <w:rFonts w:ascii="Arial" w:hAnsi="Arial"/>
          <w:noProof w:val="0"/>
          <w:rtl/>
        </w:rPr>
        <w:t>עד למועד הפירוד, חיו הצדדים ברמת חיים גבוהה ביותר. רמת החיים הגבוהה התבטאה בנסיעות תדירות לחופשות בארץ ובחו"ל, קניית ביגוד יוקרתי ממותג ("גוצ'י" "ברברי") הן עבור הצדדים והן עבור הקטינים. זאת בניגוד לרמת החיים הנלמדת מההוצאות שהוצאו לאחר הפירוד, ולאחר מועד מתן ההחלטה לנוכח המציאות שהכתיבה החלטה זו (סעיף 62 לסיכומי התובעת).</w:t>
      </w:r>
    </w:p>
    <w:p w:rsidR="00AE33D8" w:rsidRPr="00AE33D8" w:rsidRDefault="00AE33D8" w:rsidP="007F4384">
      <w:pPr>
        <w:spacing w:after="120" w:line="276" w:lineRule="auto"/>
        <w:contextualSpacing/>
        <w:rPr>
          <w:rFonts w:ascii="Arial" w:hAnsi="Arial"/>
          <w:noProof w:val="0"/>
        </w:rPr>
      </w:pPr>
    </w:p>
    <w:p w:rsidR="00AE33D8" w:rsidRPr="00AE33D8" w:rsidRDefault="00AE33D8" w:rsidP="007F4384">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 xml:space="preserve">הנתבע שימש כמפרנס העיקרי ודאג לספק את כלל צרכי המשפחה. הנתבע נהג להעביר לחשבון הבנק המשותף </w:t>
      </w:r>
      <w:r w:rsidRPr="00AE33D8">
        <w:rPr>
          <w:rFonts w:ascii="Arial" w:hAnsi="Arial"/>
          <w:b/>
          <w:bCs/>
          <w:noProof w:val="0"/>
          <w:rtl/>
        </w:rPr>
        <w:t>סך חודשי בממוצע של כ- 18,704</w:t>
      </w:r>
      <w:r w:rsidRPr="00AE33D8">
        <w:rPr>
          <w:rFonts w:ascii="Arial" w:hAnsi="Arial"/>
          <w:noProof w:val="0"/>
          <w:rtl/>
        </w:rPr>
        <w:t xml:space="preserve"> ₪, כאשר התובעת נהגה להפקיד סך חודשי בממוצע של כ- </w:t>
      </w:r>
      <w:r w:rsidRPr="00AE33D8">
        <w:rPr>
          <w:rFonts w:ascii="Arial" w:hAnsi="Arial"/>
          <w:b/>
          <w:bCs/>
          <w:noProof w:val="0"/>
          <w:rtl/>
        </w:rPr>
        <w:t>7,000 ₪</w:t>
      </w:r>
      <w:r w:rsidRPr="00AE33D8">
        <w:rPr>
          <w:rFonts w:ascii="Arial" w:hAnsi="Arial"/>
          <w:noProof w:val="0"/>
          <w:rtl/>
        </w:rPr>
        <w:t xml:space="preserve">. מעבר להפקדות הכספים בחשבון המשותף, דאג הנתבע לכלל הוצאות המשפחה, בין אם במזומן ובין אם באמצעות החברות שבבעלותו. </w:t>
      </w:r>
    </w:p>
    <w:p w:rsidR="00AE33D8" w:rsidRPr="00AE33D8" w:rsidRDefault="00AE33D8" w:rsidP="00AE33D8">
      <w:pPr>
        <w:spacing w:after="240" w:line="360" w:lineRule="auto"/>
        <w:contextualSpacing/>
        <w:jc w:val="both"/>
        <w:rPr>
          <w:rFonts w:ascii="Arial" w:hAnsi="Arial"/>
          <w:noProof w:val="0"/>
        </w:rPr>
      </w:pPr>
    </w:p>
    <w:p w:rsidR="00AE33D8" w:rsidRPr="00AE33D8" w:rsidRDefault="00AE33D8" w:rsidP="00AE33D8">
      <w:pPr>
        <w:spacing w:after="240" w:line="360" w:lineRule="auto"/>
        <w:ind w:firstLine="720"/>
        <w:contextualSpacing/>
        <w:jc w:val="both"/>
        <w:rPr>
          <w:rFonts w:ascii="Arial" w:hAnsi="Arial"/>
          <w:noProof w:val="0"/>
          <w:rtl/>
        </w:rPr>
      </w:pPr>
      <w:r w:rsidRPr="00AE33D8">
        <w:rPr>
          <w:rFonts w:ascii="Arial" w:hAnsi="Arial"/>
          <w:noProof w:val="0"/>
          <w:rtl/>
        </w:rPr>
        <w:t>הנתבע" העמיס" על החברות שבבעלותו את הוצאות המשפחה - כהוצאה מוכרת. הוצאות אלו, כללו בין היתר, רכישת מחשבים, טלפונים ניידים, כלי בית, ריהוט, מוצרי מזון וניקיון, מתנות, נסיעות לחו"ל, טיפולים זוגיים, מטפלת, בייביסיטר ועוד. בנוסף, הנתבע נהג להעביר לתובעת סכומי כסף במזומן בהיקף של לפחות 4,000 ₪ לחודש.</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775922">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 xml:space="preserve">מלבד ממקורות ההכנסה המצוינים בחוות הדעת, נטען כי לנתבע מקורות הכנסה נוספים שהוא בעל שליטה וזיקה אליהם (נכס ברחוב </w:t>
      </w:r>
      <w:r w:rsidR="00775922">
        <w:rPr>
          <w:rFonts w:ascii="Arial" w:hAnsi="Arial" w:hint="cs"/>
          <w:noProof w:val="0"/>
        </w:rPr>
        <w:t>XXX</w:t>
      </w:r>
      <w:r w:rsidRPr="00AE33D8">
        <w:rPr>
          <w:rFonts w:ascii="Arial" w:hAnsi="Arial"/>
          <w:noProof w:val="0"/>
          <w:rtl/>
        </w:rPr>
        <w:t>, חברת "</w:t>
      </w:r>
      <w:r w:rsidR="00775922">
        <w:rPr>
          <w:rFonts w:ascii="Arial" w:hAnsi="Arial" w:hint="cs"/>
          <w:noProof w:val="0"/>
        </w:rPr>
        <w:t>R</w:t>
      </w:r>
      <w:r w:rsidR="00E400B2">
        <w:rPr>
          <w:rFonts w:ascii="Arial" w:hAnsi="Arial"/>
          <w:noProof w:val="0"/>
        </w:rPr>
        <w:t>RR</w:t>
      </w:r>
      <w:r w:rsidRPr="00AE33D8">
        <w:rPr>
          <w:rFonts w:ascii="Arial" w:hAnsi="Arial"/>
          <w:noProof w:val="0"/>
          <w:rtl/>
        </w:rPr>
        <w:t xml:space="preserve">", חברה בפורטוגל וחברת הון סיכון). </w:t>
      </w:r>
    </w:p>
    <w:p w:rsidR="00AE33D8" w:rsidRPr="00AE33D8" w:rsidRDefault="00AE33D8" w:rsidP="007F4384">
      <w:pPr>
        <w:spacing w:after="120" w:line="276" w:lineRule="auto"/>
        <w:contextualSpacing/>
        <w:rPr>
          <w:rFonts w:ascii="Arial" w:hAnsi="Arial"/>
          <w:noProof w:val="0"/>
        </w:rPr>
      </w:pPr>
    </w:p>
    <w:p w:rsidR="00AE33D8" w:rsidRPr="00AE33D8" w:rsidRDefault="00AE33D8" w:rsidP="007F4384">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התובעת זכאית להשלמת מזונותיה מכוח הדין האישי, וזאת בשל הטעמים הבאים:</w:t>
      </w:r>
    </w:p>
    <w:p w:rsidR="00AE33D8" w:rsidRPr="00AE33D8" w:rsidRDefault="00AE33D8" w:rsidP="00AE33D8">
      <w:pPr>
        <w:numPr>
          <w:ilvl w:val="0"/>
          <w:numId w:val="4"/>
        </w:numPr>
        <w:spacing w:after="240" w:line="360" w:lineRule="auto"/>
        <w:contextualSpacing/>
        <w:jc w:val="both"/>
        <w:rPr>
          <w:rFonts w:ascii="Arial" w:hAnsi="Arial"/>
          <w:noProof w:val="0"/>
        </w:rPr>
      </w:pPr>
      <w:r w:rsidRPr="00AE33D8">
        <w:rPr>
          <w:rFonts w:ascii="Arial" w:hAnsi="Arial"/>
          <w:noProof w:val="0"/>
          <w:rtl/>
        </w:rPr>
        <w:t xml:space="preserve">תביעת הגירושין שהגיש הנתבע לבית הדין הרבני האזורי טרם הוכרעה. נכון להיום אין החלטה שיפוטית המחייבת אותה בקבלת גט; </w:t>
      </w:r>
    </w:p>
    <w:p w:rsidR="00AE33D8" w:rsidRPr="00AE33D8" w:rsidRDefault="00AE33D8" w:rsidP="00AE33D8">
      <w:pPr>
        <w:numPr>
          <w:ilvl w:val="0"/>
          <w:numId w:val="4"/>
        </w:numPr>
        <w:spacing w:after="240" w:line="360" w:lineRule="auto"/>
        <w:contextualSpacing/>
        <w:jc w:val="both"/>
        <w:rPr>
          <w:rFonts w:ascii="Arial" w:hAnsi="Arial"/>
          <w:noProof w:val="0"/>
        </w:rPr>
      </w:pPr>
      <w:r w:rsidRPr="00AE33D8">
        <w:rPr>
          <w:rFonts w:ascii="Arial" w:hAnsi="Arial"/>
          <w:noProof w:val="0"/>
          <w:rtl/>
        </w:rPr>
        <w:t>הנתבע עזב את דירת המגורים מיוזמתו;</w:t>
      </w:r>
    </w:p>
    <w:p w:rsidR="00AE33D8" w:rsidRPr="00AE33D8" w:rsidRDefault="00AE33D8" w:rsidP="00AE33D8">
      <w:pPr>
        <w:numPr>
          <w:ilvl w:val="0"/>
          <w:numId w:val="4"/>
        </w:numPr>
        <w:spacing w:after="240" w:line="360" w:lineRule="auto"/>
        <w:contextualSpacing/>
        <w:jc w:val="both"/>
        <w:rPr>
          <w:rFonts w:ascii="Arial" w:hAnsi="Arial"/>
          <w:noProof w:val="0"/>
        </w:rPr>
      </w:pPr>
      <w:r w:rsidRPr="00AE33D8">
        <w:rPr>
          <w:rFonts w:ascii="Arial" w:hAnsi="Arial"/>
          <w:noProof w:val="0"/>
          <w:rtl/>
        </w:rPr>
        <w:t xml:space="preserve">קביעת ההחלטה למזונות זמניים, שלפיה הנתבע פטור מחיוב במזונות אשה מכוח הכלל "מעשי ידיה", אינה רלוונטית עוד נוכח ממצאי חוות הדעת, שבה נקבע כי יחס הכנסות הצדדים עומד על 83% לנתבע ו -17% לתובעת; </w:t>
      </w:r>
    </w:p>
    <w:p w:rsidR="00AE33D8" w:rsidRPr="00AE33D8" w:rsidRDefault="00AE33D8" w:rsidP="00AE33D8">
      <w:pPr>
        <w:numPr>
          <w:ilvl w:val="0"/>
          <w:numId w:val="4"/>
        </w:numPr>
        <w:spacing w:after="240" w:line="360" w:lineRule="auto"/>
        <w:contextualSpacing/>
        <w:jc w:val="both"/>
        <w:rPr>
          <w:rFonts w:ascii="Arial" w:hAnsi="Arial"/>
          <w:noProof w:val="0"/>
        </w:rPr>
      </w:pPr>
      <w:r w:rsidRPr="00AE33D8">
        <w:rPr>
          <w:rFonts w:ascii="Arial" w:hAnsi="Arial"/>
          <w:noProof w:val="0"/>
          <w:rtl/>
        </w:rPr>
        <w:t>שיעור השתכרות הנתבע מלמד, כי רמת החיים שלה הורגלה התובעת הייתה גבוהה מרמת החיים הנטענת על ידי הנתבע, ועל כן חל הכלל "עולה עמו ואינה יורדת עמו".</w:t>
      </w:r>
    </w:p>
    <w:p w:rsidR="00AE33D8" w:rsidRPr="00AE33D8" w:rsidRDefault="00AE33D8" w:rsidP="009D6BD5">
      <w:pPr>
        <w:numPr>
          <w:ilvl w:val="0"/>
          <w:numId w:val="1"/>
        </w:numPr>
        <w:spacing w:after="240" w:line="360" w:lineRule="auto"/>
        <w:ind w:left="0" w:firstLine="0"/>
        <w:contextualSpacing/>
        <w:jc w:val="both"/>
        <w:rPr>
          <w:rFonts w:ascii="Arial" w:hAnsi="Arial"/>
          <w:noProof w:val="0"/>
        </w:rPr>
      </w:pPr>
      <w:r w:rsidRPr="00AE33D8">
        <w:rPr>
          <w:rFonts w:ascii="Arial" w:hAnsi="Arial"/>
          <w:noProof w:val="0"/>
          <w:rtl/>
        </w:rPr>
        <w:lastRenderedPageBreak/>
        <w:t>התובעת זכאית להשלמת מזונותיה גם מכוח דיני החוזים ועקרון תום הלב – משנלמד כי פערי הכוחות בין הצדדים גדולים מאוד, ראוי לחייב את הנתבע במזונות אשה עד לגירושי הצדדים או עד למועד איזון הרכוש בפועל.</w:t>
      </w:r>
    </w:p>
    <w:p w:rsidR="00AE33D8" w:rsidRPr="00AE33D8" w:rsidRDefault="00AE33D8" w:rsidP="009D6BD5">
      <w:pPr>
        <w:spacing w:after="240" w:line="360" w:lineRule="auto"/>
        <w:contextualSpacing/>
        <w:jc w:val="both"/>
        <w:rPr>
          <w:rFonts w:ascii="Arial" w:hAnsi="Arial"/>
          <w:noProof w:val="0"/>
        </w:rPr>
      </w:pPr>
      <w:r w:rsidRPr="00AE33D8">
        <w:rPr>
          <w:rFonts w:ascii="Arial" w:hAnsi="Arial"/>
          <w:noProof w:val="0"/>
          <w:rtl/>
        </w:rPr>
        <w:t xml:space="preserve">                              </w:t>
      </w:r>
    </w:p>
    <w:p w:rsidR="00AE33D8" w:rsidRPr="00AE33D8" w:rsidRDefault="00AE33D8" w:rsidP="00AE33D8">
      <w:pPr>
        <w:spacing w:after="240" w:line="360" w:lineRule="auto"/>
        <w:contextualSpacing/>
        <w:jc w:val="both"/>
        <w:rPr>
          <w:rFonts w:ascii="Arial" w:hAnsi="Arial"/>
          <w:b/>
          <w:bCs/>
          <w:noProof w:val="0"/>
          <w:u w:val="single"/>
          <w:rtl/>
        </w:rPr>
      </w:pPr>
      <w:r w:rsidRPr="00AE33D8">
        <w:rPr>
          <w:rFonts w:ascii="Arial" w:hAnsi="Arial"/>
          <w:b/>
          <w:bCs/>
          <w:noProof w:val="0"/>
          <w:u w:val="single"/>
          <w:rtl/>
        </w:rPr>
        <w:t>פירוט צרכי הקטינים והוצאות החזקת המדור הנטען בתצהירה של התובעת מיום 20.11.2022</w:t>
      </w:r>
    </w:p>
    <w:p w:rsidR="00AE33D8" w:rsidRPr="00AE33D8" w:rsidRDefault="00AE33D8" w:rsidP="009D6BD5">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כלל צורכי הקטינים, (ללא הפרדה בין הוצאות חריגות, הוצאות תלויות שהות ובין הוצאות שאינן תלויות שהות), כמפורט להלן:</w:t>
      </w:r>
    </w:p>
    <w:p w:rsidR="00AE33D8" w:rsidRPr="00AE33D8" w:rsidRDefault="00AE33D8" w:rsidP="004F275E">
      <w:pPr>
        <w:spacing w:after="120"/>
        <w:contextualSpacing/>
        <w:jc w:val="both"/>
        <w:rPr>
          <w:rFonts w:ascii="Arial" w:hAnsi="Arial"/>
          <w:noProof w:val="0"/>
        </w:rPr>
      </w:pPr>
    </w:p>
    <w:p w:rsidR="00AE33D8" w:rsidRPr="00AE33D8" w:rsidRDefault="00AE33D8" w:rsidP="00775922">
      <w:pPr>
        <w:numPr>
          <w:ilvl w:val="0"/>
          <w:numId w:val="5"/>
        </w:numPr>
        <w:spacing w:after="240" w:line="360" w:lineRule="auto"/>
        <w:ind w:left="425" w:firstLine="0"/>
        <w:contextualSpacing/>
        <w:jc w:val="both"/>
        <w:rPr>
          <w:rFonts w:ascii="Arial" w:hAnsi="Arial"/>
          <w:noProof w:val="0"/>
        </w:rPr>
      </w:pPr>
      <w:r w:rsidRPr="00AE33D8">
        <w:rPr>
          <w:rFonts w:ascii="Arial" w:hAnsi="Arial"/>
          <w:b/>
          <w:bCs/>
          <w:noProof w:val="0"/>
          <w:rtl/>
        </w:rPr>
        <w:t>גובה הוצאותיו החודשיות של הקטין ר</w:t>
      </w:r>
      <w:r w:rsidR="00775922">
        <w:rPr>
          <w:rFonts w:ascii="Arial" w:hAnsi="Arial" w:hint="cs"/>
          <w:b/>
          <w:bCs/>
          <w:noProof w:val="0"/>
          <w:rtl/>
        </w:rPr>
        <w:t>.</w:t>
      </w:r>
      <w:r w:rsidRPr="00AE33D8">
        <w:rPr>
          <w:rFonts w:ascii="Arial" w:hAnsi="Arial"/>
          <w:b/>
          <w:bCs/>
          <w:noProof w:val="0"/>
          <w:rtl/>
        </w:rPr>
        <w:t xml:space="preserve"> הוערכו בסכום של 7,250 ₪</w:t>
      </w:r>
      <w:r w:rsidRPr="00AE33D8">
        <w:rPr>
          <w:rFonts w:ascii="Arial" w:hAnsi="Arial"/>
          <w:noProof w:val="0"/>
          <w:rtl/>
        </w:rPr>
        <w:t>: מזון וכלכלה – 1,000 ₪; ביגוד והנעלה – 500 ₪; טיפולי שיניים – 100 ₪; הוצאות חינוך שוטפות – 200 ₪; חוגים והעשרה – 700 ₪; שיעורי עזר – 800 ₪; קייטנה – 800 ₪; מתנות וימי הולדת – 300 ₪;</w:t>
      </w:r>
      <w:r w:rsidRPr="00AE33D8">
        <w:rPr>
          <w:rFonts w:ascii="Arial" w:hAnsi="Arial"/>
          <w:noProof w:val="0"/>
        </w:rPr>
        <w:t xml:space="preserve"> </w:t>
      </w:r>
      <w:r w:rsidRPr="00AE33D8">
        <w:rPr>
          <w:rFonts w:ascii="Arial" w:hAnsi="Arial"/>
          <w:noProof w:val="0"/>
          <w:rtl/>
        </w:rPr>
        <w:t xml:space="preserve">ספרים – 200 ₪; בידור, בילוי ופעילויות – 500 ₪; חופשות ונסיעות לחו"ל – 1,000 ₪; ביטוח בריאות פרטי ודמי קופת חולים – 250 ₪; שונות ובלתי צפוי – 500 ₪; דמי כיס חודשיים – 400 ₪. </w:t>
      </w:r>
    </w:p>
    <w:p w:rsidR="00AE33D8" w:rsidRPr="00AE33D8" w:rsidRDefault="00AE33D8" w:rsidP="004F275E">
      <w:pPr>
        <w:spacing w:after="240"/>
        <w:ind w:left="425"/>
        <w:contextualSpacing/>
        <w:jc w:val="both"/>
        <w:rPr>
          <w:rFonts w:ascii="Arial" w:hAnsi="Arial"/>
          <w:noProof w:val="0"/>
          <w:rtl/>
        </w:rPr>
      </w:pPr>
      <w:r w:rsidRPr="00AE33D8">
        <w:rPr>
          <w:rFonts w:ascii="Arial" w:hAnsi="Arial"/>
          <w:noProof w:val="0"/>
          <w:rtl/>
        </w:rPr>
        <w:t xml:space="preserve">   </w:t>
      </w:r>
    </w:p>
    <w:p w:rsidR="00AE33D8" w:rsidRPr="00AE33D8" w:rsidRDefault="00AE33D8" w:rsidP="00775922">
      <w:pPr>
        <w:numPr>
          <w:ilvl w:val="0"/>
          <w:numId w:val="5"/>
        </w:numPr>
        <w:spacing w:after="240" w:line="360" w:lineRule="auto"/>
        <w:ind w:left="425" w:firstLine="0"/>
        <w:contextualSpacing/>
        <w:jc w:val="both"/>
        <w:rPr>
          <w:rFonts w:ascii="Arial" w:hAnsi="Arial"/>
          <w:noProof w:val="0"/>
          <w:rtl/>
        </w:rPr>
      </w:pPr>
      <w:r w:rsidRPr="00AE33D8">
        <w:rPr>
          <w:rFonts w:ascii="Arial" w:hAnsi="Arial"/>
          <w:b/>
          <w:bCs/>
          <w:noProof w:val="0"/>
          <w:rtl/>
        </w:rPr>
        <w:t>גו</w:t>
      </w:r>
      <w:r w:rsidR="00775922">
        <w:rPr>
          <w:rFonts w:ascii="Arial" w:hAnsi="Arial"/>
          <w:b/>
          <w:bCs/>
          <w:noProof w:val="0"/>
          <w:rtl/>
        </w:rPr>
        <w:t>בה הוצאותיה החודשיות של הקטינה</w:t>
      </w:r>
      <w:r w:rsidR="00775922">
        <w:rPr>
          <w:rFonts w:ascii="Arial" w:hAnsi="Arial" w:hint="cs"/>
          <w:b/>
          <w:bCs/>
          <w:noProof w:val="0"/>
          <w:rtl/>
        </w:rPr>
        <w:t xml:space="preserve"> ל. </w:t>
      </w:r>
      <w:r w:rsidRPr="00AE33D8">
        <w:rPr>
          <w:rFonts w:ascii="Arial" w:hAnsi="Arial"/>
          <w:b/>
          <w:bCs/>
          <w:noProof w:val="0"/>
          <w:rtl/>
        </w:rPr>
        <w:t>הוערכו בסכום של 7,250 ₪:</w:t>
      </w:r>
      <w:r w:rsidRPr="00AE33D8">
        <w:rPr>
          <w:rFonts w:ascii="Arial" w:hAnsi="Arial"/>
          <w:b/>
          <w:bCs/>
          <w:noProof w:val="0"/>
        </w:rPr>
        <w:t xml:space="preserve"> </w:t>
      </w:r>
      <w:r w:rsidRPr="00AE33D8">
        <w:rPr>
          <w:rFonts w:ascii="Arial" w:hAnsi="Arial"/>
          <w:noProof w:val="0"/>
          <w:rtl/>
        </w:rPr>
        <w:t xml:space="preserve">מזון וכלכלה – 1,000 ₪; ביגוד והנעלה – 500 ₪; טיפולי שיניים – 100 ₪; הוצאות חינוך שוטפות – 200 ₪; חוגים והעשרה – 700 ₪; שיעורי עזר – 600 ₪; קייטנה – 1,000 ₪; מתנות וימי הולדת – 300 ₪; ספרים – 200 ₪; בידור, בילוי ופעילויות – 500 ₪; חופשות ונסיעות לחו"ל – 1,000 ₪; ביטוח בריאות פרטי ודמי קופת חולים – 250 ₪; שונות ובלתי צפוי – 500 ₪; דמי כיס חודשיים – 400 ₪. </w:t>
      </w:r>
    </w:p>
    <w:p w:rsidR="00AE33D8" w:rsidRPr="00AE33D8" w:rsidRDefault="00AE33D8" w:rsidP="004F275E">
      <w:pPr>
        <w:spacing w:after="240"/>
        <w:ind w:left="425"/>
        <w:contextualSpacing/>
        <w:jc w:val="both"/>
        <w:rPr>
          <w:rFonts w:ascii="Arial" w:hAnsi="Arial"/>
          <w:noProof w:val="0"/>
          <w:rtl/>
        </w:rPr>
      </w:pPr>
    </w:p>
    <w:p w:rsidR="00AE33D8" w:rsidRPr="00AE33D8" w:rsidRDefault="00AE33D8" w:rsidP="00775922">
      <w:pPr>
        <w:numPr>
          <w:ilvl w:val="0"/>
          <w:numId w:val="5"/>
        </w:numPr>
        <w:spacing w:after="240" w:line="360" w:lineRule="auto"/>
        <w:ind w:left="425" w:firstLine="0"/>
        <w:contextualSpacing/>
        <w:jc w:val="both"/>
        <w:rPr>
          <w:rFonts w:ascii="Arial" w:hAnsi="Arial"/>
          <w:noProof w:val="0"/>
        </w:rPr>
      </w:pPr>
      <w:r w:rsidRPr="00AE33D8">
        <w:rPr>
          <w:rFonts w:ascii="Arial" w:hAnsi="Arial"/>
          <w:b/>
          <w:bCs/>
          <w:noProof w:val="0"/>
          <w:rtl/>
        </w:rPr>
        <w:t>גובה הוצאותיה החודשיות של הקטינה א</w:t>
      </w:r>
      <w:r w:rsidR="00775922">
        <w:rPr>
          <w:rFonts w:ascii="Arial" w:hAnsi="Arial" w:hint="cs"/>
          <w:b/>
          <w:bCs/>
          <w:noProof w:val="0"/>
          <w:rtl/>
        </w:rPr>
        <w:t>.</w:t>
      </w:r>
      <w:r w:rsidRPr="00AE33D8">
        <w:rPr>
          <w:rFonts w:ascii="Arial" w:hAnsi="Arial"/>
          <w:b/>
          <w:bCs/>
          <w:noProof w:val="0"/>
          <w:rtl/>
        </w:rPr>
        <w:t xml:space="preserve"> הוערכו בסכום של 6,950 ₪: </w:t>
      </w:r>
      <w:r w:rsidRPr="00AE33D8">
        <w:rPr>
          <w:rFonts w:ascii="Arial" w:hAnsi="Arial"/>
          <w:noProof w:val="0"/>
          <w:rtl/>
        </w:rPr>
        <w:t>מזון וכלכלה – 1,000 ₪; ביגוד והנעלה – 500 ₪; הוצאות חינוך שוטפות/צהרון – 1,200 ₪; חוגים – 500 ₪; קייטנה – 500 ₪; מורה פרטית – 300 ₪; בייביסיטר – 400 ₪; צעצועים/ספרים – 400 ₪; חופשות ונסיעות לחו"ל – 1,000 ₪; ביטוח בריאות פרטי ודמי קופת חולים – 250 ₪; בידור, בילוי ופעילויות – 300 ₪; תרופות – 100 ₪; שונות ובלתי צפוי – 500 ₪.</w:t>
      </w:r>
    </w:p>
    <w:p w:rsidR="00AE33D8" w:rsidRPr="00AE33D8" w:rsidRDefault="00AE33D8" w:rsidP="009D6BD5">
      <w:pPr>
        <w:spacing w:after="240" w:line="360" w:lineRule="auto"/>
        <w:ind w:left="425" w:firstLine="709"/>
        <w:contextualSpacing/>
        <w:jc w:val="both"/>
        <w:rPr>
          <w:rFonts w:ascii="Arial" w:hAnsi="Arial"/>
          <w:noProof w:val="0"/>
          <w:rtl/>
        </w:rPr>
      </w:pPr>
    </w:p>
    <w:p w:rsidR="00AE33D8" w:rsidRPr="00AE33D8" w:rsidRDefault="00AE33D8" w:rsidP="009D6BD5">
      <w:pPr>
        <w:numPr>
          <w:ilvl w:val="0"/>
          <w:numId w:val="1"/>
        </w:numPr>
        <w:spacing w:after="240" w:line="360" w:lineRule="auto"/>
        <w:ind w:left="0" w:firstLine="0"/>
        <w:contextualSpacing/>
        <w:jc w:val="both"/>
        <w:rPr>
          <w:rFonts w:ascii="Arial" w:hAnsi="Arial"/>
          <w:noProof w:val="0"/>
        </w:rPr>
      </w:pPr>
      <w:r w:rsidRPr="00AE33D8">
        <w:rPr>
          <w:rFonts w:ascii="Arial" w:hAnsi="Arial"/>
          <w:b/>
          <w:bCs/>
          <w:noProof w:val="0"/>
          <w:rtl/>
        </w:rPr>
        <w:t xml:space="preserve">הוצאות החזקת המדור, לרבות תשלומי הלוואת המשכנתה, הוערכו בסכום של 13,910 ₪: </w:t>
      </w:r>
      <w:r w:rsidRPr="00AE33D8">
        <w:rPr>
          <w:rFonts w:ascii="Arial" w:hAnsi="Arial"/>
          <w:rtl/>
        </w:rPr>
        <w:t>החזר משכנתה – 8,</w:t>
      </w:r>
      <w:r w:rsidRPr="00AE33D8">
        <w:rPr>
          <w:rFonts w:ascii="Arial" w:hAnsi="Arial"/>
          <w:noProof w:val="0"/>
          <w:rtl/>
        </w:rPr>
        <w:t xml:space="preserve">715 ₪; ארנונה – 700 ₪; חשמל – 450 ₪; מים – 300 ₪; גז -100 ₪; טלפון, אינטרנט וכבלים – 250 ₪; מנקה – 1,400 ₪; תשלומי תמי 4 – 115 ₪; ביטוח בית ומשכנתה – 530 ₪; גנן – 350 ₪; תיקונים והוצאות שונות – 1,000 ₪; </w:t>
      </w:r>
    </w:p>
    <w:p w:rsidR="00AE33D8" w:rsidRPr="00AE33D8" w:rsidRDefault="00AE33D8" w:rsidP="00AE33D8">
      <w:pPr>
        <w:spacing w:after="240" w:line="360" w:lineRule="auto"/>
        <w:contextualSpacing/>
        <w:jc w:val="both"/>
        <w:rPr>
          <w:rFonts w:ascii="Arial" w:hAnsi="Arial"/>
          <w:noProof w:val="0"/>
        </w:rPr>
      </w:pPr>
    </w:p>
    <w:p w:rsidR="00AE33D8" w:rsidRPr="00AE33D8" w:rsidRDefault="00AE33D8" w:rsidP="00AE33D8">
      <w:pPr>
        <w:spacing w:after="240" w:line="360" w:lineRule="auto"/>
        <w:contextualSpacing/>
        <w:jc w:val="both"/>
        <w:rPr>
          <w:rFonts w:ascii="Arial" w:hAnsi="Arial"/>
          <w:noProof w:val="0"/>
          <w:highlight w:val="yellow"/>
        </w:rPr>
      </w:pPr>
      <w:r w:rsidRPr="00AE33D8">
        <w:rPr>
          <w:rFonts w:ascii="Arial" w:hAnsi="Arial"/>
          <w:noProof w:val="0"/>
          <w:rtl/>
        </w:rPr>
        <w:t>22.</w:t>
      </w:r>
      <w:r w:rsidRPr="00AE33D8">
        <w:rPr>
          <w:rFonts w:ascii="Arial" w:hAnsi="Arial"/>
          <w:noProof w:val="0"/>
          <w:rtl/>
        </w:rPr>
        <w:tab/>
      </w:r>
      <w:r w:rsidRPr="00AE33D8">
        <w:rPr>
          <w:rFonts w:ascii="Arial" w:hAnsi="Arial"/>
          <w:b/>
          <w:bCs/>
          <w:noProof w:val="0"/>
          <w:rtl/>
        </w:rPr>
        <w:t>מזונות אישה</w:t>
      </w:r>
      <w:r w:rsidRPr="00AE33D8">
        <w:rPr>
          <w:rFonts w:ascii="Arial" w:hAnsi="Arial"/>
          <w:noProof w:val="0"/>
          <w:rtl/>
        </w:rPr>
        <w:t xml:space="preserve">- יש לחייב את הנתבע בתשלום מלוא החזר המשכנתה, בסך של כ-8,715 ₪ לחודש, ובמלוא ההוצאות החודשיות של החזקת המדור, המוערכים בסך  נוסף של כ-5,195 ₪. זאת לנוכח הפערים הכלכליים המשמעותיים שבין הצדדים, ולנוכח רמת החיים הגבוהה אליה הורגלה. </w:t>
      </w:r>
    </w:p>
    <w:p w:rsidR="00AE33D8" w:rsidRPr="00AE33D8" w:rsidRDefault="00AE33D8" w:rsidP="00AE33D8">
      <w:pPr>
        <w:spacing w:after="240" w:line="360" w:lineRule="auto"/>
        <w:ind w:firstLine="720"/>
        <w:contextualSpacing/>
        <w:jc w:val="both"/>
        <w:rPr>
          <w:rFonts w:ascii="Arial" w:hAnsi="Arial"/>
          <w:noProof w:val="0"/>
        </w:rPr>
      </w:pPr>
      <w:r w:rsidRPr="00AE33D8">
        <w:rPr>
          <w:rFonts w:ascii="Arial" w:hAnsi="Arial"/>
          <w:noProof w:val="0"/>
          <w:rtl/>
        </w:rPr>
        <w:lastRenderedPageBreak/>
        <w:t>יצוין כי בסיכומיה, עתרה התובעת לחיוב הנתבע בסכום חודשי נוסף בסך של 10,000 ₪, למימון צרכיה והוצאותיה, וזאת עד לסיום ההליך הרכושי, שבתומו יוכרע האם יש לסווג את סך התשלומים החודשיים הללו, כתשלומי מזונות אשה או שמא יש לסווגם כתשלומים על חשבון חלקה של התובעת ברכוש הצדדים.</w:t>
      </w:r>
    </w:p>
    <w:p w:rsidR="00AE33D8" w:rsidRPr="00AE33D8" w:rsidRDefault="00AE33D8" w:rsidP="00AE33D8">
      <w:pPr>
        <w:spacing w:after="240" w:line="360" w:lineRule="auto"/>
        <w:contextualSpacing/>
        <w:jc w:val="both"/>
        <w:rPr>
          <w:rFonts w:ascii="Arial" w:hAnsi="Arial"/>
          <w:noProof w:val="0"/>
          <w:rtl/>
        </w:rPr>
      </w:pPr>
    </w:p>
    <w:p w:rsidR="00AE33D8" w:rsidRPr="00AE33D8" w:rsidRDefault="00AE33D8" w:rsidP="009D6BD5">
      <w:pPr>
        <w:numPr>
          <w:ilvl w:val="0"/>
          <w:numId w:val="1"/>
        </w:numPr>
        <w:spacing w:after="240" w:line="360" w:lineRule="auto"/>
        <w:ind w:left="0" w:firstLine="0"/>
        <w:contextualSpacing/>
        <w:jc w:val="both"/>
        <w:rPr>
          <w:rFonts w:ascii="Arial" w:hAnsi="Arial"/>
          <w:noProof w:val="0"/>
        </w:rPr>
      </w:pPr>
      <w:r w:rsidRPr="00AE33D8">
        <w:rPr>
          <w:rFonts w:ascii="Arial" w:hAnsi="Arial"/>
          <w:b/>
          <w:bCs/>
          <w:noProof w:val="0"/>
          <w:rtl/>
        </w:rPr>
        <w:t>אשר ליכולות השתכרות הצדדים</w:t>
      </w:r>
      <w:r w:rsidRPr="00AE33D8">
        <w:rPr>
          <w:rFonts w:ascii="Arial" w:hAnsi="Arial"/>
          <w:noProof w:val="0"/>
          <w:rtl/>
        </w:rPr>
        <w:t xml:space="preserve"> – לטענת התובעת, כי בניגוד לקבוע בהחלטה, עולה מחוות הדעת ומעדות הנתבע, כי יכולת השתכרותו היא בסכום של 60,000 ₪ נטו לחודש, לכל הפחות. כיוצא מזה, פערי ההשתכרות בין הצדדים הם ביחס של 83% לנתבע ו -17% לתובעת (כפי שצוין בחוות הדעת), ועל יחס של 8%-92%, לפי יחס הכנסותיהם הפנויות.</w:t>
      </w:r>
    </w:p>
    <w:p w:rsidR="00AE33D8" w:rsidRPr="00AE33D8" w:rsidRDefault="00AE33D8" w:rsidP="00AE33D8">
      <w:pPr>
        <w:spacing w:after="240" w:line="360" w:lineRule="auto"/>
        <w:contextualSpacing/>
        <w:jc w:val="both"/>
        <w:rPr>
          <w:rFonts w:ascii="Arial" w:hAnsi="Arial"/>
          <w:noProof w:val="0"/>
        </w:rPr>
      </w:pPr>
      <w:r w:rsidRPr="00AE33D8">
        <mc:AlternateContent>
          <mc:Choice Requires="wps">
            <w:drawing>
              <wp:anchor distT="0" distB="0" distL="114300" distR="114300" simplePos="0" relativeHeight="251665408" behindDoc="1" locked="0" layoutInCell="1" allowOverlap="1" wp14:anchorId="4A0358E5" wp14:editId="2A887B16">
                <wp:simplePos x="0" y="0"/>
                <wp:positionH relativeFrom="column">
                  <wp:posOffset>-114220</wp:posOffset>
                </wp:positionH>
                <wp:positionV relativeFrom="paragraph">
                  <wp:posOffset>134996</wp:posOffset>
                </wp:positionV>
                <wp:extent cx="5615189" cy="2021983"/>
                <wp:effectExtent l="0" t="0" r="24130" b="16510"/>
                <wp:wrapNone/>
                <wp:docPr id="48" name="מלבן 9"/>
                <wp:cNvGraphicFramePr/>
                <a:graphic xmlns:a="http://schemas.openxmlformats.org/drawingml/2006/main">
                  <a:graphicData uri="http://schemas.microsoft.com/office/word/2010/wordprocessingShape">
                    <wps:wsp>
                      <wps:cNvSpPr/>
                      <wps:spPr>
                        <a:xfrm>
                          <a:off x="0" y="0"/>
                          <a:ext cx="5615189" cy="2021983"/>
                        </a:xfrm>
                        <a:prstGeom prst="rect">
                          <a:avLst/>
                        </a:prstGeom>
                        <a:solidFill>
                          <a:sysClr val="window" lastClr="FFFFFF">
                            <a:lumMod val="85000"/>
                          </a:sysClr>
                        </a:solidFill>
                        <a:ln w="25400" cap="flat" cmpd="sng" algn="ctr">
                          <a:solidFill>
                            <a:sysClr val="windowText" lastClr="000000">
                              <a:lumMod val="50000"/>
                              <a:lumOff val="50000"/>
                            </a:sysClr>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3DB02" id="מלבן 9" o:spid="_x0000_s1026" style="position:absolute;left:0;text-align:left;margin-left:-9pt;margin-top:10.65pt;width:442.15pt;height:159.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" fillcolor="#d9d9d9" strokecolor="#7f7f7f" strokeweight="2pt"/>
            </w:pict>
          </mc:Fallback>
        </mc:AlternateContent>
      </w:r>
    </w:p>
    <w:p w:rsidR="00AE33D8" w:rsidRPr="00AE33D8" w:rsidRDefault="00AE33D8" w:rsidP="009D6BD5">
      <w:pPr>
        <w:numPr>
          <w:ilvl w:val="0"/>
          <w:numId w:val="1"/>
        </w:numPr>
        <w:spacing w:after="240" w:line="360" w:lineRule="auto"/>
        <w:ind w:left="0" w:firstLine="0"/>
        <w:contextualSpacing/>
        <w:jc w:val="both"/>
        <w:rPr>
          <w:rFonts w:ascii="Arial" w:hAnsi="Arial"/>
          <w:noProof w:val="0"/>
        </w:rPr>
      </w:pPr>
      <w:r w:rsidRPr="00AE33D8">
        <w:rPr>
          <w:rFonts w:ascii="Arial" w:hAnsi="Arial"/>
          <w:b/>
          <w:bCs/>
          <w:noProof w:val="0"/>
          <w:u w:val="single"/>
          <w:rtl/>
        </w:rPr>
        <w:t>לשם הנוחות להלן סיכום פירוט דמי המזונות הנתבעים על ידי התובעת</w:t>
      </w:r>
      <w:r w:rsidRPr="00AE33D8">
        <w:rPr>
          <w:rFonts w:ascii="Arial" w:hAnsi="Arial"/>
          <w:noProof w:val="0"/>
          <w:rtl/>
        </w:rPr>
        <w:t>:</w:t>
      </w:r>
    </w:p>
    <w:p w:rsidR="00AE33D8" w:rsidRPr="00AE33D8" w:rsidRDefault="00AE33D8" w:rsidP="00775922">
      <w:pPr>
        <w:numPr>
          <w:ilvl w:val="0"/>
          <w:numId w:val="6"/>
        </w:numPr>
        <w:spacing w:after="240" w:line="360" w:lineRule="auto"/>
        <w:ind w:left="708" w:hanging="567"/>
        <w:contextualSpacing/>
        <w:jc w:val="both"/>
        <w:rPr>
          <w:rFonts w:ascii="Arial" w:hAnsi="Arial"/>
          <w:noProof w:val="0"/>
        </w:rPr>
      </w:pPr>
      <w:r w:rsidRPr="00AE33D8">
        <w:rPr>
          <w:rFonts w:ascii="Arial" w:hAnsi="Arial"/>
          <w:noProof w:val="0"/>
          <w:rtl/>
        </w:rPr>
        <w:t>סך של 13,000 ₪ עבור הקטינים - סך של 4,000 ₪  עבור כל אחד מהקטינים ר</w:t>
      </w:r>
      <w:r w:rsidR="00775922">
        <w:rPr>
          <w:rFonts w:ascii="Arial" w:hAnsi="Arial" w:hint="cs"/>
          <w:noProof w:val="0"/>
          <w:rtl/>
        </w:rPr>
        <w:t>.</w:t>
      </w:r>
      <w:r w:rsidRPr="00AE33D8">
        <w:rPr>
          <w:rFonts w:ascii="Arial" w:hAnsi="Arial"/>
          <w:noProof w:val="0"/>
          <w:rtl/>
        </w:rPr>
        <w:t xml:space="preserve"> ול</w:t>
      </w:r>
      <w:r w:rsidR="00775922">
        <w:rPr>
          <w:rFonts w:ascii="Arial" w:hAnsi="Arial" w:hint="cs"/>
          <w:noProof w:val="0"/>
          <w:rtl/>
        </w:rPr>
        <w:t>.</w:t>
      </w:r>
      <w:r w:rsidRPr="00AE33D8">
        <w:rPr>
          <w:rFonts w:ascii="Arial" w:hAnsi="Arial"/>
          <w:noProof w:val="0"/>
          <w:rtl/>
        </w:rPr>
        <w:t>, שהם בני למעלה מגיל שש שנים, וסך של 5,000 ₪ לחודש עבור הקטינה א</w:t>
      </w:r>
      <w:r w:rsidR="00775922">
        <w:rPr>
          <w:rFonts w:ascii="Arial" w:hAnsi="Arial" w:hint="cs"/>
          <w:noProof w:val="0"/>
          <w:rtl/>
        </w:rPr>
        <w:t>.</w:t>
      </w:r>
      <w:r w:rsidRPr="00AE33D8">
        <w:rPr>
          <w:rFonts w:ascii="Arial" w:hAnsi="Arial"/>
          <w:noProof w:val="0"/>
          <w:rtl/>
        </w:rPr>
        <w:t>, שהיא מתחת לגיל שש שנים;</w:t>
      </w:r>
    </w:p>
    <w:p w:rsidR="00AE33D8" w:rsidRPr="00AE33D8" w:rsidRDefault="00AE33D8" w:rsidP="00AE33D8">
      <w:pPr>
        <w:numPr>
          <w:ilvl w:val="0"/>
          <w:numId w:val="6"/>
        </w:numPr>
        <w:spacing w:after="240" w:line="360" w:lineRule="auto"/>
        <w:ind w:left="708" w:hanging="567"/>
        <w:contextualSpacing/>
        <w:jc w:val="both"/>
        <w:rPr>
          <w:rFonts w:ascii="Arial" w:hAnsi="Arial"/>
          <w:noProof w:val="0"/>
        </w:rPr>
      </w:pPr>
      <w:r w:rsidRPr="00AE33D8">
        <w:rPr>
          <w:rFonts w:ascii="Arial" w:hAnsi="Arial"/>
          <w:noProof w:val="0"/>
          <w:rtl/>
        </w:rPr>
        <w:t>חיוב הנתבע בשיעור של 83% מהוצאות שאינן תלויות שהות: הוצאות חינוך, חוגים והוצאות בריאות;</w:t>
      </w:r>
    </w:p>
    <w:p w:rsidR="00AE33D8" w:rsidRPr="00AE33D8" w:rsidRDefault="00AE33D8" w:rsidP="00AE33D8">
      <w:pPr>
        <w:numPr>
          <w:ilvl w:val="0"/>
          <w:numId w:val="6"/>
        </w:numPr>
        <w:spacing w:after="240" w:line="360" w:lineRule="auto"/>
        <w:ind w:left="708" w:hanging="567"/>
        <w:contextualSpacing/>
        <w:jc w:val="both"/>
        <w:rPr>
          <w:rFonts w:ascii="Arial" w:hAnsi="Arial"/>
          <w:noProof w:val="0"/>
        </w:rPr>
      </w:pPr>
      <w:r w:rsidRPr="00AE33D8">
        <w:rPr>
          <w:rFonts w:ascii="Arial" w:hAnsi="Arial"/>
          <w:noProof w:val="0"/>
          <w:rtl/>
        </w:rPr>
        <w:t>מזונות אשה- חיוב הנתבע במלוא הוצאות המדור והחזר המשכנתה, וסך כספי נוסף בסך של 10,000 ₪ לחודש עד לסיום ההליך הרכושי.</w:t>
      </w:r>
    </w:p>
    <w:p w:rsidR="004C787A" w:rsidRDefault="004C787A" w:rsidP="00AE33D8">
      <w:pPr>
        <w:spacing w:after="240" w:line="360" w:lineRule="auto"/>
        <w:contextualSpacing/>
        <w:jc w:val="both"/>
        <w:rPr>
          <w:rFonts w:ascii="Arial" w:hAnsi="Arial"/>
          <w:b/>
          <w:bCs/>
          <w:noProof w:val="0"/>
          <w:sz w:val="28"/>
          <w:szCs w:val="28"/>
          <w:u w:val="single"/>
          <w:rtl/>
        </w:rPr>
      </w:pPr>
    </w:p>
    <w:p w:rsidR="00AE33D8" w:rsidRPr="00AE33D8" w:rsidRDefault="00AE33D8" w:rsidP="00AE33D8">
      <w:pPr>
        <w:spacing w:after="240" w:line="360" w:lineRule="auto"/>
        <w:contextualSpacing/>
        <w:jc w:val="both"/>
        <w:rPr>
          <w:rFonts w:ascii="Arial" w:hAnsi="Arial"/>
          <w:noProof w:val="0"/>
          <w:sz w:val="28"/>
          <w:szCs w:val="28"/>
          <w:u w:val="single"/>
          <w:rtl/>
        </w:rPr>
      </w:pPr>
      <w:r w:rsidRPr="00AE33D8">
        <w:rPr>
          <w:rFonts w:ascii="Arial" w:hAnsi="Arial"/>
          <w:b/>
          <w:bCs/>
          <w:noProof w:val="0"/>
          <w:sz w:val="28"/>
          <w:szCs w:val="28"/>
          <w:u w:val="single"/>
          <w:rtl/>
        </w:rPr>
        <w:t>טענות הנתבע</w:t>
      </w:r>
    </w:p>
    <w:p w:rsidR="00AE33D8" w:rsidRPr="00AE33D8" w:rsidRDefault="00AE33D8" w:rsidP="004C787A">
      <w:pPr>
        <w:numPr>
          <w:ilvl w:val="0"/>
          <w:numId w:val="1"/>
        </w:numPr>
        <w:spacing w:after="240" w:line="360" w:lineRule="auto"/>
        <w:ind w:left="0" w:firstLine="0"/>
        <w:contextualSpacing/>
        <w:jc w:val="both"/>
        <w:rPr>
          <w:rFonts w:ascii="Arial" w:hAnsi="Arial"/>
          <w:noProof w:val="0"/>
          <w:rtl/>
        </w:rPr>
      </w:pPr>
      <w:r w:rsidRPr="00AE33D8">
        <w:rPr>
          <w:rFonts w:ascii="Arial" w:hAnsi="Arial"/>
          <w:noProof w:val="0"/>
          <w:rtl/>
        </w:rPr>
        <w:t xml:space="preserve">יש לדחות את תובענה </w:t>
      </w:r>
      <w:r w:rsidRPr="00AE33D8">
        <w:rPr>
          <w:rFonts w:ascii="Arial" w:hAnsi="Arial"/>
          <w:b/>
          <w:bCs/>
          <w:noProof w:val="0"/>
          <w:rtl/>
        </w:rPr>
        <w:t>למזונות אשה</w:t>
      </w:r>
      <w:r w:rsidRPr="00AE33D8">
        <w:rPr>
          <w:rFonts w:ascii="Arial" w:hAnsi="Arial"/>
          <w:noProof w:val="0"/>
          <w:rtl/>
        </w:rPr>
        <w:t xml:space="preserve"> מהטעמים הבאים:</w:t>
      </w:r>
    </w:p>
    <w:p w:rsidR="00AE33D8" w:rsidRPr="00AE33D8" w:rsidRDefault="00AE33D8" w:rsidP="00AE33D8">
      <w:pPr>
        <w:numPr>
          <w:ilvl w:val="0"/>
          <w:numId w:val="7"/>
        </w:numPr>
        <w:spacing w:after="120" w:line="360" w:lineRule="auto"/>
        <w:ind w:left="708" w:hanging="283"/>
        <w:contextualSpacing/>
        <w:jc w:val="both"/>
        <w:rPr>
          <w:rFonts w:ascii="Arial" w:hAnsi="Arial"/>
          <w:noProof w:val="0"/>
        </w:rPr>
      </w:pPr>
      <w:r w:rsidRPr="00AE33D8">
        <w:rPr>
          <w:rFonts w:ascii="Arial" w:hAnsi="Arial"/>
          <w:noProof w:val="0"/>
          <w:rtl/>
        </w:rPr>
        <w:t>כתבי טענות התובעת לוקים בפגמים, כגון: העדר סיווג של צרכי הקטינים, העדר הוכחת הסכומים הנתבעים, התעלמות מיחס הסדרי השהות והרחבת חזית לעניין זכאותה למזונות אשה;</w:t>
      </w:r>
    </w:p>
    <w:p w:rsidR="00AE33D8" w:rsidRPr="00AE33D8" w:rsidRDefault="00AE33D8" w:rsidP="00AE33D8">
      <w:pPr>
        <w:numPr>
          <w:ilvl w:val="0"/>
          <w:numId w:val="7"/>
        </w:numPr>
        <w:spacing w:after="240" w:line="360" w:lineRule="auto"/>
        <w:ind w:left="708" w:hanging="283"/>
        <w:contextualSpacing/>
        <w:jc w:val="both"/>
        <w:rPr>
          <w:rFonts w:ascii="Arial" w:hAnsi="Arial"/>
          <w:noProof w:val="0"/>
          <w:rtl/>
        </w:rPr>
      </w:pPr>
      <w:r w:rsidRPr="00AE33D8">
        <w:rPr>
          <w:rFonts w:ascii="Arial" w:hAnsi="Arial"/>
          <w:noProof w:val="0"/>
          <w:rtl/>
        </w:rPr>
        <w:t>הצדדים אינם חיים יחדיו החל מחודש 10/2019, עת אולץ הנתבע לעזוב את דירת המגורים, ולשכור דירה כאשר התובעת ממשיכה להתגורר בדירת הצדדים;</w:t>
      </w:r>
    </w:p>
    <w:p w:rsidR="00AE33D8" w:rsidRPr="00AE33D8" w:rsidRDefault="00AE33D8" w:rsidP="00AE33D8">
      <w:pPr>
        <w:numPr>
          <w:ilvl w:val="0"/>
          <w:numId w:val="7"/>
        </w:numPr>
        <w:spacing w:after="240" w:line="360" w:lineRule="auto"/>
        <w:ind w:left="708" w:hanging="283"/>
        <w:contextualSpacing/>
        <w:jc w:val="both"/>
        <w:rPr>
          <w:rFonts w:ascii="Arial" w:hAnsi="Arial"/>
          <w:noProof w:val="0"/>
        </w:rPr>
      </w:pPr>
      <w:r w:rsidRPr="00AE33D8">
        <w:rPr>
          <w:rFonts w:ascii="Arial" w:hAnsi="Arial"/>
          <w:noProof w:val="0"/>
          <w:rtl/>
        </w:rPr>
        <w:t>עיגון הנתבע – התובעת עומדת בסירובה לסידור גט, חרף העובדה שהבקשה למתן פסק דין לגירושין ולסידור גט הוגשה במשותף;</w:t>
      </w:r>
    </w:p>
    <w:p w:rsidR="00AE33D8" w:rsidRPr="00AE33D8" w:rsidRDefault="00AE33D8" w:rsidP="00AE33D8">
      <w:pPr>
        <w:numPr>
          <w:ilvl w:val="0"/>
          <w:numId w:val="7"/>
        </w:numPr>
        <w:spacing w:after="240" w:line="360" w:lineRule="auto"/>
        <w:ind w:left="708" w:hanging="283"/>
        <w:contextualSpacing/>
        <w:jc w:val="both"/>
        <w:rPr>
          <w:rFonts w:ascii="Arial" w:hAnsi="Arial"/>
          <w:noProof w:val="0"/>
        </w:rPr>
      </w:pPr>
      <w:r w:rsidRPr="00AE33D8">
        <w:rPr>
          <w:rFonts w:ascii="Arial" w:hAnsi="Arial"/>
          <w:noProof w:val="0"/>
          <w:rtl/>
        </w:rPr>
        <w:t>"מעשי ידיה תחת מזונותיה" – התובעת עובדת בעסק בבעלות אביה. בהחלטה נקבע כי סכום השתכרותה החודשי של התובעת מעבודה זו הוא בסך של 11,000 ₪ נטו. בחוות הדעת הוערכה הכנסת התובעת בסך של 11,800 ₪ נטו. בנוסף להטבות נלוות של רכב והוצאות רכב, שבהן נושא העסק של אביה;</w:t>
      </w:r>
    </w:p>
    <w:p w:rsidR="00AE33D8" w:rsidRPr="00AE33D8" w:rsidRDefault="00AE33D8" w:rsidP="00AE33D8">
      <w:pPr>
        <w:numPr>
          <w:ilvl w:val="0"/>
          <w:numId w:val="7"/>
        </w:numPr>
        <w:spacing w:after="240" w:line="360" w:lineRule="auto"/>
        <w:ind w:left="708" w:hanging="283"/>
        <w:contextualSpacing/>
        <w:jc w:val="both"/>
        <w:rPr>
          <w:rFonts w:ascii="Arial" w:hAnsi="Arial"/>
          <w:noProof w:val="0"/>
        </w:rPr>
      </w:pPr>
      <w:r w:rsidRPr="00AE33D8">
        <w:rPr>
          <w:rFonts w:ascii="Arial" w:hAnsi="Arial"/>
          <w:b/>
          <w:bCs/>
          <w:noProof w:val="0"/>
          <w:rtl/>
        </w:rPr>
        <w:lastRenderedPageBreak/>
        <w:t>הכנסתה הכוללת של התובעת</w:t>
      </w:r>
      <w:r w:rsidRPr="00AE33D8">
        <w:rPr>
          <w:rFonts w:ascii="Arial" w:hAnsi="Arial"/>
          <w:noProof w:val="0"/>
          <w:rtl/>
        </w:rPr>
        <w:t xml:space="preserve"> עומדת לכל הפחות על סך של 15,000 ₪ נטו לחודש, בשל הגדלת החיסכון החודשי המצוין בתלוש משכורתה והטבות נוספות;</w:t>
      </w:r>
    </w:p>
    <w:p w:rsidR="00AE33D8" w:rsidRPr="00AE33D8" w:rsidRDefault="00AE33D8" w:rsidP="00AE33D8">
      <w:pPr>
        <w:spacing w:after="240" w:line="360" w:lineRule="auto"/>
        <w:ind w:left="708" w:hanging="283"/>
        <w:contextualSpacing/>
        <w:jc w:val="both"/>
        <w:rPr>
          <w:rFonts w:ascii="Arial" w:hAnsi="Arial"/>
          <w:noProof w:val="0"/>
        </w:rPr>
      </w:pPr>
      <w:r w:rsidRPr="00AE33D8">
        <w:rPr>
          <w:rFonts w:ascii="Arial" w:hAnsi="Arial"/>
          <w:noProof w:val="0"/>
          <w:rtl/>
        </w:rPr>
        <w:t>ו.</w:t>
      </w:r>
      <w:r w:rsidRPr="00AE33D8">
        <w:rPr>
          <w:rFonts w:ascii="Arial" w:hAnsi="Arial"/>
          <w:b/>
          <w:bCs/>
          <w:noProof w:val="0"/>
          <w:rtl/>
        </w:rPr>
        <w:tab/>
      </w:r>
      <w:r w:rsidRPr="00AE33D8">
        <w:rPr>
          <w:rFonts w:ascii="Arial" w:hAnsi="Arial"/>
          <w:noProof w:val="0"/>
          <w:rtl/>
        </w:rPr>
        <w:t>יש לדחות את דרישת התובעת לתשלום מזונותיה "על חשבון" חלקה ברכוש המשותף. טענה זו מהווה הרחבת חזית, היות ולא הועלתה בתביעה ואף לא בבקשה למזונות זמניים.</w:t>
      </w:r>
    </w:p>
    <w:p w:rsidR="00AE33D8" w:rsidRPr="00AE33D8" w:rsidRDefault="00AE33D8" w:rsidP="00AE33D8">
      <w:pPr>
        <w:spacing w:after="240" w:line="360" w:lineRule="auto"/>
        <w:contextualSpacing/>
        <w:jc w:val="both"/>
        <w:rPr>
          <w:rFonts w:ascii="Arial" w:hAnsi="Arial"/>
          <w:noProof w:val="0"/>
        </w:rPr>
      </w:pPr>
    </w:p>
    <w:p w:rsidR="00AE33D8" w:rsidRPr="00AE33D8" w:rsidRDefault="00AE33D8" w:rsidP="004C787A">
      <w:pPr>
        <w:numPr>
          <w:ilvl w:val="0"/>
          <w:numId w:val="1"/>
        </w:numPr>
        <w:spacing w:after="240" w:line="360" w:lineRule="auto"/>
        <w:ind w:left="0" w:firstLine="0"/>
        <w:contextualSpacing/>
        <w:jc w:val="both"/>
        <w:rPr>
          <w:rFonts w:ascii="Arial" w:hAnsi="Arial"/>
          <w:noProof w:val="0"/>
        </w:rPr>
      </w:pPr>
      <w:r w:rsidRPr="00AE33D8">
        <w:rPr>
          <w:rFonts w:ascii="Arial" w:hAnsi="Arial"/>
          <w:b/>
          <w:bCs/>
          <w:noProof w:val="0"/>
          <w:rtl/>
        </w:rPr>
        <w:t>אשר לדרישה לחיוב במזונות הקטינים</w:t>
      </w:r>
      <w:r w:rsidRPr="00AE33D8">
        <w:rPr>
          <w:rFonts w:ascii="Arial" w:hAnsi="Arial"/>
          <w:noProof w:val="0"/>
          <w:rtl/>
        </w:rPr>
        <w:t xml:space="preserve"> - בית המשפט נדרש לבחון לשם פסיקת דמי מזונות, לפי בע"מ 919/15 </w:t>
      </w:r>
      <w:r w:rsidRPr="00AE33D8">
        <w:rPr>
          <w:rFonts w:ascii="Arial" w:hAnsi="Arial"/>
          <w:b/>
          <w:bCs/>
          <w:noProof w:val="0"/>
          <w:rtl/>
        </w:rPr>
        <w:t>פלוני נ' פלונית</w:t>
      </w:r>
      <w:r w:rsidRPr="00AE33D8">
        <w:rPr>
          <w:rFonts w:ascii="Arial" w:hAnsi="Arial"/>
          <w:noProof w:val="0"/>
          <w:rtl/>
        </w:rPr>
        <w:t xml:space="preserve"> (19.7.2017) (להלן – "</w:t>
      </w:r>
      <w:r w:rsidRPr="00AE33D8">
        <w:rPr>
          <w:rFonts w:ascii="Arial" w:hAnsi="Arial"/>
          <w:b/>
          <w:bCs/>
          <w:noProof w:val="0"/>
          <w:rtl/>
        </w:rPr>
        <w:t>בע"מ 919/15</w:t>
      </w:r>
      <w:r w:rsidRPr="00AE33D8">
        <w:rPr>
          <w:rFonts w:ascii="Arial" w:hAnsi="Arial"/>
          <w:noProof w:val="0"/>
          <w:rtl/>
        </w:rPr>
        <w:t xml:space="preserve">") כמפורט להלן: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numPr>
          <w:ilvl w:val="0"/>
          <w:numId w:val="8"/>
        </w:numPr>
        <w:spacing w:after="240" w:line="360" w:lineRule="auto"/>
        <w:contextualSpacing/>
        <w:jc w:val="both"/>
        <w:rPr>
          <w:rFonts w:ascii="Arial" w:hAnsi="Arial"/>
          <w:noProof w:val="0"/>
          <w:rtl/>
        </w:rPr>
      </w:pPr>
      <w:r w:rsidRPr="00AE33D8">
        <w:rPr>
          <w:rFonts w:ascii="Arial" w:hAnsi="Arial"/>
          <w:b/>
          <w:bCs/>
          <w:noProof w:val="0"/>
          <w:rtl/>
        </w:rPr>
        <w:t>רמת חייהם של הקטינים ערב הפירוד</w:t>
      </w:r>
      <w:r w:rsidRPr="00AE33D8">
        <w:rPr>
          <w:rFonts w:ascii="Arial" w:hAnsi="Arial"/>
          <w:noProof w:val="0"/>
          <w:rtl/>
        </w:rPr>
        <w:t xml:space="preserve"> –רמת החיים הגבוהה הנטענת על ידי התובעת לא הוכחה, ואין בתימוכין שצורפו על ידה בכדי לבסס את טענתה זו;</w:t>
      </w:r>
    </w:p>
    <w:p w:rsidR="00AE33D8" w:rsidRPr="00AE33D8" w:rsidRDefault="00AE33D8" w:rsidP="00AE33D8">
      <w:pPr>
        <w:numPr>
          <w:ilvl w:val="0"/>
          <w:numId w:val="8"/>
        </w:numPr>
        <w:spacing w:after="240" w:line="360" w:lineRule="auto"/>
        <w:ind w:left="708" w:hanging="425"/>
        <w:contextualSpacing/>
        <w:jc w:val="both"/>
        <w:rPr>
          <w:rFonts w:ascii="Arial" w:hAnsi="Arial"/>
          <w:noProof w:val="0"/>
        </w:rPr>
      </w:pPr>
      <w:r w:rsidRPr="00AE33D8">
        <w:rPr>
          <w:rFonts w:ascii="Arial" w:hAnsi="Arial"/>
          <w:b/>
          <w:bCs/>
          <w:noProof w:val="0"/>
          <w:rtl/>
        </w:rPr>
        <w:t>צרכי הילדים</w:t>
      </w:r>
      <w:r w:rsidRPr="00AE33D8">
        <w:rPr>
          <w:rFonts w:ascii="Arial" w:hAnsi="Arial"/>
          <w:noProof w:val="0"/>
          <w:rtl/>
        </w:rPr>
        <w:t xml:space="preserve"> – הצרכים שנדרשו על ידי התובעת בתביעה מופרזים, ואינם תואמים את סכומי צרכי הילדים המוצאים בפועל. ראיה לכך, ניתן למצוא בטבלאות האקסל החודשיות שנשלחו לנתבע על ידי התובעת לאחר מתן ההחלטה;</w:t>
      </w:r>
    </w:p>
    <w:p w:rsidR="00AE33D8" w:rsidRPr="00AE33D8" w:rsidRDefault="00AE33D8" w:rsidP="00AE33D8">
      <w:pPr>
        <w:numPr>
          <w:ilvl w:val="0"/>
          <w:numId w:val="8"/>
        </w:numPr>
        <w:spacing w:after="240" w:line="360" w:lineRule="auto"/>
        <w:ind w:left="708" w:hanging="425"/>
        <w:contextualSpacing/>
        <w:jc w:val="both"/>
        <w:rPr>
          <w:rFonts w:ascii="Arial" w:hAnsi="Arial"/>
          <w:noProof w:val="0"/>
        </w:rPr>
      </w:pPr>
      <w:r w:rsidRPr="00AE33D8">
        <w:rPr>
          <w:rFonts w:ascii="Arial" w:hAnsi="Arial"/>
          <w:b/>
          <w:bCs/>
          <w:noProof w:val="0"/>
          <w:rtl/>
        </w:rPr>
        <w:t>הערכת צרכי הילדים שאינם תלויי שהות</w:t>
      </w:r>
      <w:r w:rsidRPr="00AE33D8">
        <w:rPr>
          <w:rFonts w:ascii="Arial" w:hAnsi="Arial"/>
          <w:noProof w:val="0"/>
          <w:rtl/>
        </w:rPr>
        <w:t xml:space="preserve"> - התובעת לא ערכה חלוקת של צרכים תלויי שהות וצרכים שאינם תלויי שהות, כנדרש בדין וכקבוע בסעיף 66 להחלטה. התובעת לא הוכיחה את שיעור ההוצאות שאינן תלויות שהות. לנוכח כשל זה מצד התובעת, על בית המשפט לקבוע שיעור הוצאות אלו, על סך של 400 ₪ לכל קטין, לכל היותר;</w:t>
      </w:r>
    </w:p>
    <w:p w:rsidR="00AE33D8" w:rsidRPr="00AE33D8" w:rsidRDefault="00AE33D8" w:rsidP="00AE33D8">
      <w:pPr>
        <w:numPr>
          <w:ilvl w:val="0"/>
          <w:numId w:val="8"/>
        </w:numPr>
        <w:spacing w:after="240" w:line="360" w:lineRule="auto"/>
        <w:ind w:left="708" w:hanging="425"/>
        <w:contextualSpacing/>
        <w:jc w:val="both"/>
        <w:rPr>
          <w:rFonts w:ascii="Arial" w:hAnsi="Arial"/>
          <w:noProof w:val="0"/>
        </w:rPr>
      </w:pPr>
      <w:r w:rsidRPr="00AE33D8">
        <w:rPr>
          <w:rFonts w:ascii="Arial" w:hAnsi="Arial"/>
          <w:b/>
          <w:bCs/>
          <w:noProof w:val="0"/>
          <w:rtl/>
        </w:rPr>
        <w:t>הערכת צרכי הילדים שהם תלויי שהות</w:t>
      </w:r>
      <w:r w:rsidRPr="00AE33D8">
        <w:rPr>
          <w:rFonts w:ascii="Arial" w:hAnsi="Arial"/>
          <w:noProof w:val="0"/>
          <w:rtl/>
        </w:rPr>
        <w:t xml:space="preserve"> – יש להעמידם בסך של 2,500 ₪ לחודש, לפי הקבוע בעמ"ש (מרכז) 38131-07-21 </w:t>
      </w:r>
      <w:r w:rsidRPr="00AE33D8">
        <w:rPr>
          <w:rFonts w:ascii="Arial" w:hAnsi="Arial"/>
          <w:b/>
          <w:bCs/>
          <w:noProof w:val="0"/>
          <w:rtl/>
        </w:rPr>
        <w:t>ל נ' א</w:t>
      </w:r>
      <w:r w:rsidRPr="00AE33D8">
        <w:rPr>
          <w:rFonts w:ascii="Arial" w:hAnsi="Arial"/>
          <w:noProof w:val="0"/>
          <w:rtl/>
        </w:rPr>
        <w:t xml:space="preserve"> (10.4.2022), שבו נקבע כי סך של 2,500-2,250 ₪ מבטא צרכים תלויי שהות של קטין המתגורר בשני בתים מרכזיים. בניגוד לתובעת, הנתבע משלם דמי שכירות בגובה של 6,750 ₪ לחודש.</w:t>
      </w:r>
    </w:p>
    <w:p w:rsidR="00AE33D8" w:rsidRPr="00AE33D8" w:rsidRDefault="00AE33D8" w:rsidP="00AE33D8">
      <w:pPr>
        <w:spacing w:after="240" w:line="360" w:lineRule="auto"/>
        <w:ind w:left="708"/>
        <w:contextualSpacing/>
        <w:jc w:val="both"/>
        <w:rPr>
          <w:rFonts w:ascii="Arial" w:hAnsi="Arial"/>
          <w:noProof w:val="0"/>
        </w:rPr>
      </w:pPr>
    </w:p>
    <w:p w:rsidR="00AE33D8" w:rsidRPr="00AE33D8" w:rsidRDefault="00AE33D8" w:rsidP="00775922">
      <w:pPr>
        <w:numPr>
          <w:ilvl w:val="0"/>
          <w:numId w:val="1"/>
        </w:numPr>
        <w:spacing w:after="240" w:line="360" w:lineRule="auto"/>
        <w:ind w:left="-1" w:firstLine="12"/>
        <w:contextualSpacing/>
        <w:jc w:val="both"/>
        <w:rPr>
          <w:rFonts w:ascii="Arial" w:hAnsi="Arial"/>
          <w:noProof w:val="0"/>
          <w:rtl/>
        </w:rPr>
      </w:pPr>
      <w:r w:rsidRPr="00AE33D8">
        <w:rPr>
          <w:rFonts w:ascii="Arial" w:hAnsi="Arial"/>
          <w:b/>
          <w:bCs/>
          <w:noProof w:val="0"/>
          <w:rtl/>
        </w:rPr>
        <w:t>הכנסות הנתבע</w:t>
      </w:r>
      <w:r w:rsidRPr="00AE33D8">
        <w:rPr>
          <w:rFonts w:ascii="Arial" w:hAnsi="Arial"/>
          <w:noProof w:val="0"/>
          <w:rtl/>
        </w:rPr>
        <w:t xml:space="preserve"> –  אין רלוונטיות לנכסיו, היות שהמרכיב העיקרי שאותו יש לבחון בעת פסיקת מזונות הוא רמת חיים הילדים ערב הפירוד. הכנסת הנתבע ממשכורתו ומתשלום שכר הדירה לשנים 2021-2019 היא בסך כולל של 18,439 ₪ נטו לחודש. הכנסותיו ממשכורתו ומקבלת שכר דירה בשנת 2022 היא בסך כולל של 24,827 ₪ נטו, כמפורט: משכורת הנתבע בשנת 2022 עמדה על סך של 32,939 ₪ נטו (סכום זה אינו מייצג שעה שהוא כולל בחובו תקבול בגין סיום עבודת הנתבע בחברת "</w:t>
      </w:r>
      <w:r w:rsidR="00775922">
        <w:rPr>
          <w:rFonts w:ascii="Arial" w:hAnsi="Arial" w:hint="cs"/>
          <w:noProof w:val="0"/>
        </w:rPr>
        <w:t>ZZ</w:t>
      </w:r>
      <w:r w:rsidRPr="00AE33D8">
        <w:rPr>
          <w:rFonts w:ascii="Arial" w:hAnsi="Arial"/>
          <w:noProof w:val="0"/>
          <w:rtl/>
        </w:rPr>
        <w:t>");</w:t>
      </w:r>
      <w:r w:rsidRPr="00AE33D8">
        <w:rPr>
          <w:rFonts w:ascii="Arial" w:hAnsi="Arial"/>
          <w:noProof w:val="0"/>
        </w:rPr>
        <w:t xml:space="preserve"> </w:t>
      </w:r>
      <w:r w:rsidRPr="00AE33D8">
        <w:rPr>
          <w:rFonts w:ascii="Arial" w:hAnsi="Arial"/>
          <w:noProof w:val="0"/>
          <w:rtl/>
        </w:rPr>
        <w:t xml:space="preserve">בנוסף, בשנת 2022 התווספה להכנסות הנתבע הכנסה חודשית בסך של 12,225 ש"ח מהשכרת דירה בבעלותו ברח' </w:t>
      </w:r>
      <w:r w:rsidR="00775922">
        <w:rPr>
          <w:rFonts w:ascii="Arial" w:hAnsi="Arial" w:hint="cs"/>
          <w:noProof w:val="0"/>
        </w:rPr>
        <w:t>XXX</w:t>
      </w:r>
      <w:r w:rsidRPr="00AE33D8">
        <w:rPr>
          <w:rFonts w:ascii="Arial" w:hAnsi="Arial"/>
          <w:noProof w:val="0"/>
          <w:rtl/>
        </w:rPr>
        <w:t xml:space="preserve"> בתל אביב, שלאחר קיזוז החזרי המשכנתה החודשיים בסך של 20,457 ₪ מביאה אותו ליתרה שלילית בסך של 8,232 ₪ לחודש.</w:t>
      </w:r>
    </w:p>
    <w:p w:rsidR="004F275E" w:rsidRDefault="004F275E" w:rsidP="004F275E">
      <w:pPr>
        <w:spacing w:after="240"/>
        <w:ind w:firstLine="720"/>
        <w:jc w:val="both"/>
        <w:rPr>
          <w:rFonts w:ascii="Arial" w:hAnsi="Arial"/>
          <w:noProof w:val="0"/>
          <w:rtl/>
        </w:rPr>
      </w:pPr>
    </w:p>
    <w:p w:rsidR="00AE33D8" w:rsidRPr="00AE33D8" w:rsidRDefault="00AE33D8" w:rsidP="00AE33D8">
      <w:pPr>
        <w:spacing w:after="240" w:line="360" w:lineRule="auto"/>
        <w:ind w:firstLine="720"/>
        <w:jc w:val="both"/>
        <w:rPr>
          <w:rFonts w:ascii="Arial" w:hAnsi="Arial"/>
          <w:noProof w:val="0"/>
        </w:rPr>
      </w:pPr>
      <w:r w:rsidRPr="00AE33D8">
        <w:rPr>
          <w:rFonts w:ascii="Arial" w:hAnsi="Arial"/>
          <w:noProof w:val="0"/>
          <w:rtl/>
        </w:rPr>
        <w:lastRenderedPageBreak/>
        <w:t>הנתבע מצוי במצוקה תזרימית קשה הנובעת מהיקף הוצאותיו, המורכבות מחיובו החודשי לפי ההחלטה למזונות ילדים (לרבות חלקו בהחזר המשכנתה), ומסיפוק צרכיו האישיים העומדים על סך של 22,971 ₪ לחודש.</w:t>
      </w:r>
    </w:p>
    <w:p w:rsidR="00AE33D8" w:rsidRDefault="00AE33D8" w:rsidP="00AE33D8">
      <w:pPr>
        <w:numPr>
          <w:ilvl w:val="0"/>
          <w:numId w:val="1"/>
        </w:numPr>
        <w:spacing w:after="240" w:line="360" w:lineRule="auto"/>
        <w:ind w:left="-1"/>
        <w:contextualSpacing/>
        <w:jc w:val="both"/>
        <w:rPr>
          <w:rFonts w:ascii="Arial" w:hAnsi="Arial"/>
          <w:noProof w:val="0"/>
        </w:rPr>
      </w:pPr>
      <w:r w:rsidRPr="00AE33D8">
        <w:rPr>
          <w:rFonts w:ascii="Arial" w:hAnsi="Arial"/>
          <w:noProof w:val="0"/>
          <w:rtl/>
        </w:rPr>
        <w:t xml:space="preserve">הכנסת הנתבע סיפקה רמת חיים ממוצעת למשפחה – הנתבע מבסס טענתו זו על בסיס הנטען על ידי התובעת, שלפיו הסך החודשי הממוצע שהעביר לחשבון הבנק המשותף, בחודשים 1/2020-3/2019, עמד על סך של 18,704 ₪. לטענת הנתבע, הסכום של 18,704 ₪ מימן את כלל הוצאות המשפחה, לרבות החזר החודשי של הלוואת המשכנתה, שהוצאו מכספי החשבון המשותף. </w:t>
      </w:r>
    </w:p>
    <w:p w:rsidR="004C787A" w:rsidRDefault="004C787A" w:rsidP="004C787A">
      <w:pPr>
        <w:spacing w:after="240"/>
        <w:ind w:firstLine="720"/>
        <w:jc w:val="both"/>
        <w:rPr>
          <w:rFonts w:ascii="Arial" w:hAnsi="Arial"/>
          <w:noProof w:val="0"/>
          <w:rtl/>
        </w:rPr>
      </w:pPr>
    </w:p>
    <w:p w:rsidR="00AE33D8" w:rsidRPr="00AE33D8" w:rsidRDefault="00AE33D8" w:rsidP="00AE33D8">
      <w:pPr>
        <w:spacing w:after="240" w:line="360" w:lineRule="auto"/>
        <w:ind w:firstLine="720"/>
        <w:jc w:val="both"/>
        <w:rPr>
          <w:rFonts w:ascii="Arial" w:hAnsi="Arial"/>
          <w:noProof w:val="0"/>
        </w:rPr>
      </w:pPr>
      <w:r w:rsidRPr="00AE33D8">
        <w:rPr>
          <w:rFonts w:ascii="Arial" w:hAnsi="Arial"/>
          <w:noProof w:val="0"/>
          <w:rtl/>
        </w:rPr>
        <w:t>ממצאי חוות הדעת ביחס להכנסת הנתבע אינה משקפת את הכנסתו בפועל והן שגויות. המומחה שקלל הכנסה רעיונית של הנתבע הן מעבודתו בחברות שהוא בעל זיקה אליהן והן מהכנסות כלואות, תוך העדר שקלול הוצאותיו בגין נכסיו (לרבות הלוואות המשכנתה). הכנסות נכסי החברות שבבעלות הנתבע נמוכות מההלוואות שניטלו לצורך רכישתם, כעולה מהדוחות הכספיים שצירף הנתבע.</w:t>
      </w:r>
    </w:p>
    <w:p w:rsidR="00AE33D8" w:rsidRPr="00AE33D8" w:rsidRDefault="00AE33D8" w:rsidP="00E400B2">
      <w:pPr>
        <w:spacing w:after="240" w:line="360" w:lineRule="auto"/>
        <w:ind w:left="-1" w:firstLine="721"/>
        <w:jc w:val="both"/>
        <w:rPr>
          <w:rFonts w:ascii="Arial" w:hAnsi="Arial"/>
          <w:noProof w:val="0"/>
        </w:rPr>
      </w:pPr>
      <w:r w:rsidRPr="00AE33D8">
        <w:rPr>
          <w:rFonts w:ascii="Arial" w:hAnsi="Arial"/>
          <w:noProof w:val="0"/>
          <w:rtl/>
        </w:rPr>
        <w:t>לא הוכח כי לנתבע הכנסה מחברת "</w:t>
      </w:r>
      <w:r w:rsidR="00E400B2">
        <w:rPr>
          <w:rFonts w:ascii="Arial" w:hAnsi="Arial" w:hint="cs"/>
          <w:noProof w:val="0"/>
        </w:rPr>
        <w:t>RRR</w:t>
      </w:r>
      <w:r w:rsidRPr="00AE33D8">
        <w:rPr>
          <w:rFonts w:ascii="Arial" w:hAnsi="Arial"/>
          <w:noProof w:val="0"/>
          <w:rtl/>
        </w:rPr>
        <w:t xml:space="preserve">", מחברה בפורטוגל, או מהחברה לקרן הון סיכון או כל מיזם אחר.  </w:t>
      </w:r>
    </w:p>
    <w:p w:rsidR="00AE33D8" w:rsidRPr="00AE33D8" w:rsidRDefault="00AE33D8" w:rsidP="004C787A">
      <w:pPr>
        <w:numPr>
          <w:ilvl w:val="0"/>
          <w:numId w:val="1"/>
        </w:numPr>
        <w:spacing w:after="240" w:line="360" w:lineRule="auto"/>
        <w:ind w:left="-1" w:firstLine="1"/>
        <w:contextualSpacing/>
        <w:jc w:val="both"/>
        <w:rPr>
          <w:rFonts w:ascii="Arial" w:hAnsi="Arial"/>
          <w:noProof w:val="0"/>
        </w:rPr>
      </w:pPr>
      <w:r w:rsidRPr="00AE33D8">
        <w:rPr>
          <w:rFonts w:ascii="Arial" w:hAnsi="Arial"/>
          <w:b/>
          <w:bCs/>
          <w:noProof w:val="0"/>
          <w:rtl/>
        </w:rPr>
        <w:t>יחס הכנסות הצדדים</w:t>
      </w:r>
      <w:r w:rsidRPr="00AE33D8">
        <w:rPr>
          <w:rFonts w:ascii="Arial" w:hAnsi="Arial"/>
          <w:noProof w:val="0"/>
          <w:rtl/>
        </w:rPr>
        <w:t xml:space="preserve"> – הכנסתו החודשית של הנתבע בשנת 2022 היתה כ-24,827 ₪, בקיזוז תשלום דמי מדורו של הנתבע בסך של 6,750 ₪, מביאה לחישוב הכנסתו הפנויה כעומדת על סך של 18,077 ₪. הכנסתה החודשית של התובעת עומדת על סך של 15,000 ₪. לשיטת הנתבע, חישוב זה מביא ליחס הכנסות הצדדים של 55% לנתבע ו-45% לתובעת.</w:t>
      </w:r>
    </w:p>
    <w:p w:rsidR="00AE33D8" w:rsidRPr="00AE33D8" w:rsidRDefault="00AE33D8" w:rsidP="00AE33D8">
      <w:pPr>
        <w:spacing w:after="240" w:line="360" w:lineRule="auto"/>
        <w:contextualSpacing/>
        <w:jc w:val="both"/>
        <w:rPr>
          <w:rFonts w:ascii="Arial" w:hAnsi="Arial"/>
          <w:noProof w:val="0"/>
        </w:rPr>
      </w:pPr>
      <w:r w:rsidRPr="00AE33D8">
        <mc:AlternateContent>
          <mc:Choice Requires="wps">
            <w:drawing>
              <wp:anchor distT="0" distB="0" distL="114300" distR="114300" simplePos="0" relativeHeight="251667456" behindDoc="1" locked="0" layoutInCell="1" allowOverlap="1" wp14:anchorId="7D76189D" wp14:editId="345E811D">
                <wp:simplePos x="0" y="0"/>
                <wp:positionH relativeFrom="column">
                  <wp:posOffset>-49729</wp:posOffset>
                </wp:positionH>
                <wp:positionV relativeFrom="paragraph">
                  <wp:posOffset>205693</wp:posOffset>
                </wp:positionV>
                <wp:extent cx="5479576" cy="3145809"/>
                <wp:effectExtent l="57150" t="38100" r="83185" b="92710"/>
                <wp:wrapNone/>
                <wp:docPr id="47" name="מלבן 13"/>
                <wp:cNvGraphicFramePr/>
                <a:graphic xmlns:a="http://schemas.openxmlformats.org/drawingml/2006/main">
                  <a:graphicData uri="http://schemas.microsoft.com/office/word/2010/wordprocessingShape">
                    <wps:wsp>
                      <wps:cNvSpPr/>
                      <wps:spPr>
                        <a:xfrm>
                          <a:off x="0" y="0"/>
                          <a:ext cx="5479576" cy="3145809"/>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159D2A" id="מלבן 13" o:spid="_x0000_s1026" style="position:absolute;left:0;text-align:left;margin-left:-3.9pt;margin-top:16.2pt;width:431.45pt;height:247.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" fillcolor="#bcbcbc">
                <v:fill color2="#ededed" rotate="t" angle="180" colors="0 #bcbcbc;22938f #d0d0d0;1 #ededed" focus="100%" type="gradient"/>
                <v:shadow on="t" color="black" opacity="24903f" origin=",.5" offset="0,.55556mm"/>
              </v:rect>
            </w:pict>
          </mc:Fallback>
        </mc:AlternateContent>
      </w:r>
    </w:p>
    <w:p w:rsidR="00AE33D8" w:rsidRPr="00AE33D8" w:rsidRDefault="00AE33D8" w:rsidP="004C787A">
      <w:pPr>
        <w:numPr>
          <w:ilvl w:val="0"/>
          <w:numId w:val="1"/>
        </w:numPr>
        <w:spacing w:after="240" w:line="360" w:lineRule="auto"/>
        <w:ind w:left="0" w:firstLine="0"/>
        <w:contextualSpacing/>
        <w:jc w:val="both"/>
        <w:rPr>
          <w:rFonts w:ascii="Arial" w:hAnsi="Arial"/>
          <w:noProof w:val="0"/>
        </w:rPr>
      </w:pPr>
      <w:r w:rsidRPr="00AE33D8">
        <w:rPr>
          <w:rFonts w:ascii="Arial" w:hAnsi="Arial"/>
          <w:noProof w:val="0"/>
          <w:rtl/>
        </w:rPr>
        <w:t>לנוכח כל האמור, נטען על ידי הנתבע כי יש לחייבו כמפורט:</w:t>
      </w:r>
    </w:p>
    <w:p w:rsidR="00AE33D8" w:rsidRPr="00AE33D8" w:rsidRDefault="00AE33D8" w:rsidP="00775922">
      <w:pPr>
        <w:numPr>
          <w:ilvl w:val="0"/>
          <w:numId w:val="9"/>
        </w:numPr>
        <w:spacing w:after="240" w:line="360" w:lineRule="auto"/>
        <w:contextualSpacing/>
        <w:jc w:val="both"/>
        <w:rPr>
          <w:rFonts w:ascii="Arial" w:hAnsi="Arial"/>
          <w:noProof w:val="0"/>
        </w:rPr>
      </w:pPr>
      <w:r w:rsidRPr="00AE33D8">
        <w:rPr>
          <w:rFonts w:ascii="Arial" w:hAnsi="Arial"/>
          <w:b/>
          <w:bCs/>
          <w:noProof w:val="0"/>
          <w:rtl/>
        </w:rPr>
        <w:t>בגין הוצאות תלויי שהות</w:t>
      </w:r>
      <w:r w:rsidRPr="00AE33D8">
        <w:rPr>
          <w:rFonts w:ascii="Arial" w:hAnsi="Arial"/>
          <w:noProof w:val="0"/>
          <w:rtl/>
        </w:rPr>
        <w:t xml:space="preserve"> – יש לחייבו בסך של 1,512 ₪ עבור הקטינים ר</w:t>
      </w:r>
      <w:r w:rsidR="00775922">
        <w:rPr>
          <w:rFonts w:ascii="Arial" w:hAnsi="Arial" w:hint="cs"/>
          <w:noProof w:val="0"/>
          <w:rtl/>
        </w:rPr>
        <w:t>.</w:t>
      </w:r>
      <w:r w:rsidRPr="00AE33D8">
        <w:rPr>
          <w:rFonts w:ascii="Arial" w:hAnsi="Arial"/>
          <w:noProof w:val="0"/>
          <w:rtl/>
        </w:rPr>
        <w:t xml:space="preserve"> ול</w:t>
      </w:r>
      <w:r w:rsidR="00775922">
        <w:rPr>
          <w:rFonts w:ascii="Arial" w:hAnsi="Arial" w:hint="cs"/>
          <w:noProof w:val="0"/>
          <w:rtl/>
        </w:rPr>
        <w:t>.</w:t>
      </w:r>
      <w:r w:rsidRPr="00AE33D8">
        <w:rPr>
          <w:rFonts w:ascii="Arial" w:hAnsi="Arial"/>
          <w:noProof w:val="0"/>
          <w:rtl/>
        </w:rPr>
        <w:t xml:space="preserve"> (756 ₪ לכל אחד מהם). לפי בסיס החישוב שלהלן: חלקו של הנתבע בגין הוצאות תלויות השהות עומד על סך של 2,750 ₪ - מכפלת יחס הכנסתו של הנתבע בהכנסות הצדדים (55%) והוצאות שני הקטינים שהן תלויות שהות (5,000 ₪). מסכום זה יש לקזז סך של 1,237 ₪ - מכפלת יחס הסדרי השהות של הקטינים עם הנתבע (יצוין כי הנתבע הציב במכפלה זו יחס של 45% תחת יחס של 43%);</w:t>
      </w:r>
    </w:p>
    <w:p w:rsidR="00AE33D8" w:rsidRPr="00AE33D8" w:rsidRDefault="00AE33D8" w:rsidP="00775922">
      <w:pPr>
        <w:numPr>
          <w:ilvl w:val="0"/>
          <w:numId w:val="9"/>
        </w:numPr>
        <w:spacing w:after="240" w:line="360" w:lineRule="auto"/>
        <w:contextualSpacing/>
        <w:jc w:val="both"/>
        <w:rPr>
          <w:rFonts w:ascii="Arial" w:hAnsi="Arial"/>
          <w:noProof w:val="0"/>
        </w:rPr>
      </w:pPr>
      <w:r w:rsidRPr="00AE33D8">
        <w:rPr>
          <w:rFonts w:ascii="Arial" w:hAnsi="Arial"/>
          <w:b/>
          <w:bCs/>
          <w:noProof w:val="0"/>
          <w:rtl/>
        </w:rPr>
        <w:t>בגין הוצאות שאינן תלויות שהות</w:t>
      </w:r>
      <w:r w:rsidRPr="00AE33D8">
        <w:rPr>
          <w:rFonts w:ascii="Arial" w:hAnsi="Arial"/>
          <w:noProof w:val="0"/>
          <w:rtl/>
        </w:rPr>
        <w:t xml:space="preserve"> – יש לחייבו בסך של 440 ₪ של הקטינים ר</w:t>
      </w:r>
      <w:r w:rsidR="00775922">
        <w:rPr>
          <w:rFonts w:ascii="Arial" w:hAnsi="Arial" w:hint="cs"/>
          <w:noProof w:val="0"/>
          <w:rtl/>
        </w:rPr>
        <w:t>.</w:t>
      </w:r>
      <w:r w:rsidRPr="00AE33D8">
        <w:rPr>
          <w:rFonts w:ascii="Arial" w:hAnsi="Arial"/>
          <w:noProof w:val="0"/>
          <w:rtl/>
        </w:rPr>
        <w:t xml:space="preserve"> ול</w:t>
      </w:r>
      <w:r w:rsidR="00775922">
        <w:rPr>
          <w:rFonts w:ascii="Arial" w:hAnsi="Arial" w:hint="cs"/>
          <w:noProof w:val="0"/>
          <w:rtl/>
        </w:rPr>
        <w:t>.</w:t>
      </w:r>
      <w:r w:rsidRPr="00AE33D8">
        <w:rPr>
          <w:rFonts w:ascii="Arial" w:hAnsi="Arial"/>
          <w:noProof w:val="0"/>
          <w:rtl/>
        </w:rPr>
        <w:t xml:space="preserve"> (220 ₪ לכל אחד מהם) –תוך שקלול סכום זה  בשיעור הכנסתו ביחס הכנסות הצדדים הנטען על ידו;</w:t>
      </w:r>
    </w:p>
    <w:p w:rsidR="00AE33D8" w:rsidRPr="00AE33D8" w:rsidRDefault="00AE33D8" w:rsidP="00775922">
      <w:pPr>
        <w:numPr>
          <w:ilvl w:val="0"/>
          <w:numId w:val="9"/>
        </w:numPr>
        <w:spacing w:after="240" w:line="360" w:lineRule="auto"/>
        <w:contextualSpacing/>
        <w:jc w:val="both"/>
        <w:rPr>
          <w:rFonts w:ascii="Arial" w:hAnsi="Arial"/>
          <w:noProof w:val="0"/>
        </w:rPr>
      </w:pPr>
      <w:r w:rsidRPr="00AE33D8">
        <w:rPr>
          <w:rFonts w:ascii="Arial" w:hAnsi="Arial"/>
          <w:b/>
          <w:bCs/>
          <w:noProof w:val="0"/>
          <w:rtl/>
        </w:rPr>
        <w:t>חיוב במזונות עבור הבת א</w:t>
      </w:r>
      <w:r w:rsidR="00775922">
        <w:rPr>
          <w:rFonts w:ascii="Arial" w:hAnsi="Arial" w:hint="cs"/>
          <w:b/>
          <w:bCs/>
          <w:noProof w:val="0"/>
          <w:rtl/>
        </w:rPr>
        <w:t>.</w:t>
      </w:r>
      <w:r w:rsidRPr="00AE33D8">
        <w:rPr>
          <w:rFonts w:ascii="Arial" w:hAnsi="Arial"/>
          <w:b/>
          <w:bCs/>
          <w:noProof w:val="0"/>
          <w:rtl/>
        </w:rPr>
        <w:t xml:space="preserve"> שהיא קטינה מתחת לגיל 6</w:t>
      </w:r>
      <w:r w:rsidRPr="00AE33D8">
        <w:rPr>
          <w:rFonts w:ascii="Arial" w:hAnsi="Arial"/>
          <w:noProof w:val="0"/>
          <w:rtl/>
        </w:rPr>
        <w:t xml:space="preserve"> – יש לחייבו בסך של 1,600 ₪, ובמלאות לה שש שנים יש להפחית את גובה המזונות, ולחייבו בשיעור גובה המזונות כשל הקטינים ר</w:t>
      </w:r>
      <w:r w:rsidR="00775922">
        <w:rPr>
          <w:rFonts w:ascii="Arial" w:hAnsi="Arial" w:hint="cs"/>
          <w:noProof w:val="0"/>
          <w:rtl/>
        </w:rPr>
        <w:t>.</w:t>
      </w:r>
      <w:r w:rsidRPr="00AE33D8">
        <w:rPr>
          <w:rFonts w:ascii="Arial" w:hAnsi="Arial"/>
          <w:noProof w:val="0"/>
          <w:rtl/>
        </w:rPr>
        <w:t>ול</w:t>
      </w:r>
      <w:r w:rsidR="00775922">
        <w:rPr>
          <w:rFonts w:ascii="Arial" w:hAnsi="Arial" w:hint="cs"/>
          <w:noProof w:val="0"/>
          <w:rtl/>
        </w:rPr>
        <w:t>.</w:t>
      </w:r>
      <w:r w:rsidRPr="00AE33D8">
        <w:rPr>
          <w:rFonts w:ascii="Arial" w:hAnsi="Arial"/>
          <w:noProof w:val="0"/>
          <w:rtl/>
        </w:rPr>
        <w:t xml:space="preserve"> כמפורט לעיל;</w:t>
      </w:r>
    </w:p>
    <w:p w:rsidR="00AE33D8" w:rsidRPr="00AE33D8" w:rsidRDefault="00AE33D8" w:rsidP="00775922">
      <w:pPr>
        <w:numPr>
          <w:ilvl w:val="0"/>
          <w:numId w:val="9"/>
        </w:numPr>
        <w:spacing w:after="240" w:line="360" w:lineRule="auto"/>
        <w:contextualSpacing/>
        <w:jc w:val="both"/>
        <w:rPr>
          <w:rFonts w:ascii="Arial" w:hAnsi="Arial"/>
          <w:noProof w:val="0"/>
        </w:rPr>
      </w:pPr>
      <w:r w:rsidRPr="00AE33D8">
        <w:rPr>
          <w:rFonts w:ascii="Arial" w:hAnsi="Arial"/>
          <w:b/>
          <w:bCs/>
          <w:noProof w:val="0"/>
          <w:rtl/>
        </w:rPr>
        <w:lastRenderedPageBreak/>
        <w:t xml:space="preserve">הותרת חיובו בתשלום מחצית מההחזר המשכנתה ונשיאתו ב-30% </w:t>
      </w:r>
      <w:r w:rsidRPr="00AE33D8">
        <w:rPr>
          <w:rFonts w:ascii="Arial" w:hAnsi="Arial"/>
          <w:noProof w:val="0"/>
          <w:rtl/>
        </w:rPr>
        <w:t>מחלקה של התובעת, ובמלאות שש שנים לקטינה א</w:t>
      </w:r>
      <w:r w:rsidR="00775922">
        <w:rPr>
          <w:rFonts w:ascii="Arial" w:hAnsi="Arial" w:hint="cs"/>
          <w:noProof w:val="0"/>
          <w:rtl/>
        </w:rPr>
        <w:t>.</w:t>
      </w:r>
      <w:r w:rsidRPr="00AE33D8">
        <w:rPr>
          <w:rFonts w:ascii="Arial" w:hAnsi="Arial"/>
          <w:noProof w:val="0"/>
          <w:rtl/>
        </w:rPr>
        <w:t xml:space="preserve">, יש להורות על חלוקת שווה של תשלום ההחזר החודשי; </w:t>
      </w:r>
    </w:p>
    <w:p w:rsidR="00775922" w:rsidRDefault="00775922" w:rsidP="00AE33D8">
      <w:pPr>
        <w:spacing w:after="240" w:line="360" w:lineRule="auto"/>
        <w:contextualSpacing/>
        <w:jc w:val="both"/>
        <w:rPr>
          <w:rFonts w:ascii="Arial" w:hAnsi="Arial"/>
          <w:b/>
          <w:bCs/>
          <w:noProof w:val="0"/>
          <w:sz w:val="28"/>
          <w:szCs w:val="28"/>
          <w:u w:val="single"/>
          <w:rtl/>
        </w:rPr>
      </w:pPr>
    </w:p>
    <w:p w:rsidR="00AE33D8" w:rsidRDefault="00AE33D8" w:rsidP="00AE33D8">
      <w:pPr>
        <w:spacing w:after="240" w:line="360" w:lineRule="auto"/>
        <w:contextualSpacing/>
        <w:jc w:val="both"/>
        <w:rPr>
          <w:rFonts w:ascii="Arial" w:hAnsi="Arial"/>
          <w:b/>
          <w:bCs/>
          <w:noProof w:val="0"/>
          <w:sz w:val="28"/>
          <w:szCs w:val="28"/>
          <w:u w:val="single"/>
          <w:rtl/>
        </w:rPr>
      </w:pPr>
      <w:r w:rsidRPr="00AE33D8">
        <w:rPr>
          <w:rFonts w:ascii="Arial" w:hAnsi="Arial"/>
          <w:b/>
          <w:bCs/>
          <w:noProof w:val="0"/>
          <w:sz w:val="28"/>
          <w:szCs w:val="28"/>
          <w:u w:val="single"/>
          <w:rtl/>
        </w:rPr>
        <w:t>חוות דעת המומחה</w:t>
      </w:r>
    </w:p>
    <w:p w:rsidR="00775922" w:rsidRPr="00AE33D8" w:rsidRDefault="00775922" w:rsidP="00AE33D8">
      <w:pPr>
        <w:spacing w:after="240" w:line="360" w:lineRule="auto"/>
        <w:contextualSpacing/>
        <w:jc w:val="both"/>
        <w:rPr>
          <w:rFonts w:ascii="Arial" w:hAnsi="Arial"/>
          <w:b/>
          <w:bCs/>
          <w:noProof w:val="0"/>
          <w:sz w:val="28"/>
          <w:szCs w:val="28"/>
          <w:u w:val="single"/>
          <w:rtl/>
        </w:rPr>
      </w:pPr>
    </w:p>
    <w:p w:rsidR="00AE33D8" w:rsidRPr="00AE33D8" w:rsidRDefault="00AE33D8" w:rsidP="00DA2BFA">
      <w:pPr>
        <w:numPr>
          <w:ilvl w:val="0"/>
          <w:numId w:val="1"/>
        </w:numPr>
        <w:spacing w:after="120" w:line="360" w:lineRule="auto"/>
        <w:ind w:left="0" w:firstLine="0"/>
        <w:contextualSpacing/>
        <w:jc w:val="both"/>
        <w:rPr>
          <w:rFonts w:ascii="Arial" w:hAnsi="Arial"/>
          <w:noProof w:val="0"/>
          <w:rtl/>
        </w:rPr>
      </w:pPr>
      <w:r w:rsidRPr="00AE33D8">
        <w:rPr>
          <w:rFonts w:ascii="Arial" w:hAnsi="Arial"/>
          <w:noProof w:val="0"/>
          <w:rtl/>
        </w:rPr>
        <w:t>כאמור, ביום 8.8.2021 הוגשה חוות הדעת המומחה, לשם הערכת שווי הכנסות הצדדים מכל מקור שהוא.</w:t>
      </w:r>
    </w:p>
    <w:p w:rsidR="00AE33D8" w:rsidRPr="00AE33D8" w:rsidRDefault="00AE33D8" w:rsidP="00DA2BFA">
      <w:pPr>
        <w:spacing w:line="360" w:lineRule="auto"/>
        <w:contextualSpacing/>
        <w:jc w:val="both"/>
        <w:rPr>
          <w:rFonts w:ascii="Arial" w:hAnsi="Arial"/>
          <w:noProof w:val="0"/>
        </w:rPr>
      </w:pPr>
    </w:p>
    <w:p w:rsidR="00775922" w:rsidRDefault="00AE33D8" w:rsidP="00DA2BFA">
      <w:pPr>
        <w:numPr>
          <w:ilvl w:val="0"/>
          <w:numId w:val="1"/>
        </w:numPr>
        <w:spacing w:after="240" w:line="360" w:lineRule="auto"/>
        <w:ind w:left="0" w:firstLine="0"/>
        <w:contextualSpacing/>
        <w:jc w:val="both"/>
        <w:rPr>
          <w:rFonts w:ascii="Arial" w:hAnsi="Arial"/>
          <w:noProof w:val="0"/>
        </w:rPr>
      </w:pPr>
      <w:r w:rsidRPr="00AE33D8">
        <w:rPr>
          <w:rFonts w:ascii="Arial" w:hAnsi="Arial"/>
          <w:noProof w:val="0"/>
          <w:rtl/>
        </w:rPr>
        <w:t xml:space="preserve">לפי ממצאי חוות הדעת, יחס הכנסות הצדדים הוא </w:t>
      </w:r>
      <w:r w:rsidRPr="00AE33D8">
        <w:rPr>
          <w:rFonts w:ascii="Arial" w:hAnsi="Arial"/>
          <w:b/>
          <w:bCs/>
          <w:noProof w:val="0"/>
          <w:rtl/>
        </w:rPr>
        <w:t xml:space="preserve">83% לנתבע ו-17% לתובעת </w:t>
      </w:r>
      <w:r w:rsidRPr="00AE33D8">
        <w:rPr>
          <w:rFonts w:ascii="Arial" w:hAnsi="Arial"/>
          <w:noProof w:val="0"/>
          <w:rtl/>
        </w:rPr>
        <w:t xml:space="preserve">– הכנסת הנתבע הוערכה בסכום של </w:t>
      </w:r>
      <w:r w:rsidRPr="00AE33D8">
        <w:rPr>
          <w:rFonts w:ascii="Arial" w:hAnsi="Arial"/>
          <w:b/>
          <w:bCs/>
          <w:noProof w:val="0"/>
          <w:rtl/>
        </w:rPr>
        <w:t>57,968 ₪ נטו לחודש</w:t>
      </w:r>
      <w:r w:rsidRPr="00AE33D8">
        <w:rPr>
          <w:rFonts w:ascii="Arial" w:hAnsi="Arial"/>
          <w:noProof w:val="0"/>
          <w:rtl/>
        </w:rPr>
        <w:t xml:space="preserve">, והכנסת </w:t>
      </w:r>
      <w:r w:rsidRPr="00AE33D8">
        <w:rPr>
          <w:rFonts w:ascii="Arial" w:hAnsi="Arial"/>
          <w:b/>
          <w:bCs/>
          <w:noProof w:val="0"/>
          <w:rtl/>
        </w:rPr>
        <w:t>התובעת הוערכה בסכום של 11,809 ₪ נטו לחודש</w:t>
      </w:r>
      <w:r w:rsidRPr="00AE33D8">
        <w:rPr>
          <w:rFonts w:ascii="Arial" w:hAnsi="Arial"/>
          <w:noProof w:val="0"/>
          <w:rtl/>
        </w:rPr>
        <w:t xml:space="preserve">. ראו ממצאי חוות הדעת בעמוד 2: </w:t>
      </w:r>
    </w:p>
    <w:p w:rsidR="00775922" w:rsidRDefault="00775922" w:rsidP="00775922">
      <w:pPr>
        <w:pStyle w:val="ad"/>
        <w:rPr>
          <w:rFonts w:ascii="Arial" w:hAnsi="Arial"/>
          <w:noProof w:val="0"/>
          <w:rtl/>
        </w:rPr>
      </w:pPr>
    </w:p>
    <w:p w:rsidR="00AE33D8" w:rsidRPr="00AE33D8" w:rsidRDefault="00AE33D8" w:rsidP="00775922">
      <w:pPr>
        <w:spacing w:after="240" w:line="360" w:lineRule="auto"/>
        <w:contextualSpacing/>
        <w:jc w:val="both"/>
        <w:rPr>
          <w:rFonts w:ascii="Arial" w:hAnsi="Arial"/>
          <w:noProof w:val="0"/>
          <w:rtl/>
        </w:rPr>
      </w:pPr>
      <w:r w:rsidRPr="00AE33D8">
        <w:drawing>
          <wp:anchor distT="0" distB="0" distL="114300" distR="114300" simplePos="0" relativeHeight="251659264" behindDoc="1" locked="0" layoutInCell="1" allowOverlap="1" wp14:anchorId="7A2F776D" wp14:editId="0FEC66A2">
            <wp:simplePos x="0" y="0"/>
            <wp:positionH relativeFrom="column">
              <wp:posOffset>-635</wp:posOffset>
            </wp:positionH>
            <wp:positionV relativeFrom="paragraph">
              <wp:posOffset>703580</wp:posOffset>
            </wp:positionV>
            <wp:extent cx="5401310" cy="1812290"/>
            <wp:effectExtent l="0" t="0" r="8890" b="0"/>
            <wp:wrapTopAndBottom/>
            <wp:docPr id="45" name="תמונה 6"/>
            <wp:cNvGraphicFramePr/>
            <a:graphic xmlns:a="http://schemas.openxmlformats.org/drawingml/2006/main">
              <a:graphicData uri="http://schemas.openxmlformats.org/drawingml/2006/picture">
                <pic:pic xmlns:pic="http://schemas.openxmlformats.org/drawingml/2006/picture">
                  <pic:nvPicPr>
                    <pic:cNvPr id="6" name="תמונה 6"/>
                    <pic:cNvPicPr/>
                  </pic:nvPicPr>
                  <pic:blipFill>
                    <a:blip r:embed="rId8">
                      <a:duotone>
                        <a:prstClr val="black"/>
                        <a:schemeClr val="bg1">
                          <a:lumMod val="75000"/>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5400675" cy="181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33D8">
        <w:rPr>
          <w:rFonts w:ascii="Arial" w:hAnsi="Arial"/>
          <w:noProof w:val="0"/>
          <w:rtl/>
        </w:rPr>
        <w:t xml:space="preserve">חוות הדעת וממצאיה לא נסתרו על ידי מי מהצדדים. </w:t>
      </w:r>
      <w:r w:rsidRPr="00AE33D8">
        <w:rPr>
          <w:rFonts w:ascii="David" w:hAnsi="David"/>
          <w:noProof w:val="0"/>
          <w:rtl/>
        </w:rPr>
        <w:t>משהמומחה עמד על מסקנותיו וממצאיו בתשובותיו לשאלות ההבהרה שנשלחו אליו מטעם הנתבע, יש ליתן לחוות הדעת את המשקל הראוי לה.</w:t>
      </w:r>
    </w:p>
    <w:p w:rsidR="00AE33D8" w:rsidRPr="00AE33D8" w:rsidRDefault="00AE33D8" w:rsidP="00DA2BFA">
      <w:pPr>
        <w:spacing w:after="120" w:line="276" w:lineRule="auto"/>
        <w:contextualSpacing/>
        <w:rPr>
          <w:rFonts w:ascii="Arial" w:hAnsi="Arial"/>
          <w:noProof w:val="0"/>
        </w:rPr>
      </w:pPr>
    </w:p>
    <w:p w:rsidR="00AE33D8" w:rsidRPr="00AE33D8" w:rsidRDefault="00AE33D8" w:rsidP="00DA2BFA">
      <w:pPr>
        <w:numPr>
          <w:ilvl w:val="0"/>
          <w:numId w:val="1"/>
        </w:numPr>
        <w:spacing w:after="240" w:line="360" w:lineRule="auto"/>
        <w:ind w:left="0" w:firstLine="0"/>
        <w:contextualSpacing/>
        <w:jc w:val="both"/>
        <w:rPr>
          <w:rFonts w:ascii="Arial" w:hAnsi="Arial"/>
          <w:noProof w:val="0"/>
          <w:rtl/>
        </w:rPr>
      </w:pPr>
      <w:r w:rsidRPr="00AE33D8">
        <w:rPr>
          <w:rFonts w:ascii="David" w:hAnsi="David"/>
          <w:noProof w:val="0"/>
          <w:rtl/>
        </w:rPr>
        <w:t xml:space="preserve">קביעה זו מתיישבת עם הפסיקה, שלפיה </w:t>
      </w:r>
      <w:r w:rsidRPr="00AE33D8">
        <w:rPr>
          <w:rFonts w:ascii="David" w:hAnsi="David"/>
          <w:b/>
          <w:bCs/>
          <w:noProof w:val="0"/>
          <w:rtl/>
        </w:rPr>
        <w:t>ויתור על חקירת מומחה</w:t>
      </w:r>
      <w:r w:rsidRPr="00AE33D8">
        <w:rPr>
          <w:rFonts w:ascii="David" w:hAnsi="David"/>
          <w:noProof w:val="0"/>
          <w:rtl/>
        </w:rPr>
        <w:t xml:space="preserve"> מטעם בית המשפט מחזקת את חוות דעתו ונותנת משקל ממשי להמלצות שניתנו בה, בפרט כאשר אלו לא נסתרו גם במסגרת שאלות ההבהרה מטעם הנתבע ותשובות המומחה (בע"מ 6308/12</w:t>
      </w:r>
      <w:r w:rsidRPr="00AE33D8">
        <w:rPr>
          <w:rFonts w:ascii="David" w:hAnsi="David"/>
          <w:b/>
          <w:bCs/>
          <w:noProof w:val="0"/>
          <w:rtl/>
        </w:rPr>
        <w:t xml:space="preserve"> פלונית נ' פלונית </w:t>
      </w:r>
      <w:r w:rsidRPr="00AE33D8">
        <w:rPr>
          <w:rFonts w:ascii="David" w:hAnsi="David"/>
          <w:noProof w:val="0"/>
          <w:rtl/>
        </w:rPr>
        <w:t xml:space="preserve">(30.4.2013); ע"א (ב"ש) 1/98 </w:t>
      </w:r>
      <w:r w:rsidRPr="00AE33D8">
        <w:rPr>
          <w:rFonts w:ascii="David" w:hAnsi="David"/>
          <w:b/>
          <w:bCs/>
          <w:noProof w:val="0"/>
          <w:rtl/>
        </w:rPr>
        <w:t xml:space="preserve">פ.מ נ' היועמ"ש </w:t>
      </w:r>
      <w:r w:rsidRPr="00AE33D8">
        <w:rPr>
          <w:rFonts w:ascii="David" w:hAnsi="David"/>
          <w:noProof w:val="0"/>
          <w:rtl/>
        </w:rPr>
        <w:t>(4.5.1998); ע"מ (ב"ש) 3/98</w:t>
      </w:r>
      <w:r w:rsidRPr="00AE33D8">
        <w:rPr>
          <w:rFonts w:ascii="David" w:hAnsi="David"/>
          <w:b/>
          <w:bCs/>
          <w:noProof w:val="0"/>
          <w:rtl/>
        </w:rPr>
        <w:t xml:space="preserve"> פלונית נ' היועמ"ש </w:t>
      </w:r>
      <w:r w:rsidRPr="00AE33D8">
        <w:rPr>
          <w:rFonts w:ascii="David" w:hAnsi="David"/>
          <w:noProof w:val="0"/>
          <w:rtl/>
        </w:rPr>
        <w:t>(26.10.1998); ע"א 1650/12</w:t>
      </w:r>
      <w:r w:rsidRPr="00AE33D8">
        <w:rPr>
          <w:rFonts w:ascii="David" w:hAnsi="David"/>
          <w:b/>
          <w:bCs/>
          <w:noProof w:val="0"/>
          <w:rtl/>
        </w:rPr>
        <w:t xml:space="preserve"> מנורה חברה לביטוח בע"מ נ' שטיינפלד </w:t>
      </w:r>
      <w:r w:rsidRPr="00AE33D8">
        <w:rPr>
          <w:rFonts w:ascii="David" w:hAnsi="David"/>
          <w:noProof w:val="0"/>
          <w:rtl/>
        </w:rPr>
        <w:t>(9.6.2013); עמ"ש (ת"א) 1261-11-15</w:t>
      </w:r>
      <w:r w:rsidRPr="00AE33D8">
        <w:rPr>
          <w:rFonts w:ascii="David" w:hAnsi="David"/>
          <w:b/>
          <w:bCs/>
          <w:noProof w:val="0"/>
          <w:rtl/>
        </w:rPr>
        <w:t xml:space="preserve"> ד.מ נ' ל.ל </w:t>
      </w:r>
      <w:r w:rsidRPr="00AE33D8">
        <w:rPr>
          <w:rFonts w:ascii="David" w:hAnsi="David"/>
          <w:noProof w:val="0"/>
          <w:rtl/>
        </w:rPr>
        <w:t>(13.11.2016).</w:t>
      </w:r>
      <w:r w:rsidRPr="00AE33D8">
        <w:rPr>
          <w:rFonts w:ascii="David" w:hAnsi="David"/>
          <w:b/>
          <w:bCs/>
          <w:noProof w:val="0"/>
          <w:rtl/>
        </w:rPr>
        <w:t xml:space="preserve"> </w:t>
      </w:r>
    </w:p>
    <w:p w:rsidR="00775922" w:rsidRDefault="00775922" w:rsidP="00AE33D8">
      <w:pPr>
        <w:spacing w:after="240" w:line="360" w:lineRule="auto"/>
        <w:jc w:val="both"/>
        <w:rPr>
          <w:rFonts w:ascii="Arial" w:hAnsi="Arial"/>
          <w:b/>
          <w:bCs/>
          <w:noProof w:val="0"/>
          <w:sz w:val="28"/>
          <w:szCs w:val="28"/>
          <w:u w:val="single"/>
          <w:rtl/>
        </w:rPr>
      </w:pPr>
    </w:p>
    <w:p w:rsidR="00775922" w:rsidRDefault="00775922" w:rsidP="00AE33D8">
      <w:pPr>
        <w:spacing w:after="240" w:line="360" w:lineRule="auto"/>
        <w:jc w:val="both"/>
        <w:rPr>
          <w:rFonts w:ascii="Arial" w:hAnsi="Arial"/>
          <w:b/>
          <w:bCs/>
          <w:noProof w:val="0"/>
          <w:sz w:val="28"/>
          <w:szCs w:val="28"/>
          <w:u w:val="single"/>
          <w:rtl/>
        </w:rPr>
      </w:pPr>
    </w:p>
    <w:p w:rsidR="00AE33D8" w:rsidRPr="00AE33D8" w:rsidRDefault="00AE33D8" w:rsidP="00AE33D8">
      <w:pPr>
        <w:spacing w:after="240" w:line="360" w:lineRule="auto"/>
        <w:jc w:val="both"/>
        <w:rPr>
          <w:rFonts w:ascii="Arial" w:hAnsi="Arial"/>
          <w:b/>
          <w:bCs/>
          <w:noProof w:val="0"/>
          <w:sz w:val="28"/>
          <w:szCs w:val="28"/>
          <w:u w:val="single"/>
        </w:rPr>
      </w:pPr>
      <w:r w:rsidRPr="00AE33D8">
        <w:rPr>
          <w:rFonts w:ascii="Arial" w:hAnsi="Arial"/>
          <w:b/>
          <w:bCs/>
          <w:noProof w:val="0"/>
          <w:sz w:val="28"/>
          <w:szCs w:val="28"/>
          <w:u w:val="single"/>
          <w:rtl/>
        </w:rPr>
        <w:lastRenderedPageBreak/>
        <w:t>דיון והכרעה</w:t>
      </w:r>
    </w:p>
    <w:p w:rsidR="00AE33D8" w:rsidRPr="00AE33D8" w:rsidRDefault="00AE33D8" w:rsidP="00AE33D8">
      <w:pPr>
        <w:spacing w:after="240" w:line="360" w:lineRule="auto"/>
        <w:jc w:val="both"/>
        <w:rPr>
          <w:rFonts w:ascii="Arial" w:hAnsi="Arial"/>
          <w:b/>
          <w:bCs/>
          <w:noProof w:val="0"/>
          <w:sz w:val="28"/>
          <w:szCs w:val="28"/>
          <w:u w:val="single"/>
        </w:rPr>
      </w:pPr>
      <w:r w:rsidRPr="00AE33D8">
        <w:rPr>
          <w:rFonts w:ascii="Arial" w:hAnsi="Arial"/>
          <w:b/>
          <w:bCs/>
          <w:noProof w:val="0"/>
          <w:sz w:val="28"/>
          <w:szCs w:val="28"/>
          <w:u w:val="single"/>
          <w:rtl/>
        </w:rPr>
        <w:t>מזונות אישה</w:t>
      </w:r>
    </w:p>
    <w:p w:rsidR="00AE33D8" w:rsidRPr="00AE33D8" w:rsidRDefault="00AE33D8" w:rsidP="00DA2BFA">
      <w:pPr>
        <w:numPr>
          <w:ilvl w:val="0"/>
          <w:numId w:val="10"/>
        </w:numPr>
        <w:spacing w:after="240" w:line="360" w:lineRule="auto"/>
        <w:ind w:left="0" w:firstLine="0"/>
        <w:contextualSpacing/>
        <w:jc w:val="both"/>
        <w:rPr>
          <w:rFonts w:ascii="Arial" w:hAnsi="Arial"/>
          <w:noProof w:val="0"/>
        </w:rPr>
      </w:pPr>
      <w:r w:rsidRPr="00AE33D8">
        <w:rPr>
          <w:rFonts w:ascii="Arial" w:hAnsi="Arial"/>
          <w:noProof w:val="0"/>
          <w:rtl/>
        </w:rPr>
        <w:t>סעיף 2(א) לחוק לתיקון דיני משפחה (מזונות), התשי"ט-1959 (להלן - "</w:t>
      </w:r>
      <w:r w:rsidRPr="00AE33D8">
        <w:rPr>
          <w:rFonts w:ascii="Arial" w:hAnsi="Arial"/>
          <w:b/>
          <w:bCs/>
          <w:noProof w:val="0"/>
          <w:rtl/>
        </w:rPr>
        <w:t>החוק</w:t>
      </w:r>
      <w:r w:rsidRPr="00AE33D8">
        <w:rPr>
          <w:rFonts w:ascii="Arial" w:hAnsi="Arial"/>
          <w:noProof w:val="0"/>
          <w:rtl/>
        </w:rPr>
        <w:t>") קובע:</w:t>
      </w:r>
    </w:p>
    <w:p w:rsidR="00AE33D8" w:rsidRPr="00AE33D8" w:rsidRDefault="00AE33D8" w:rsidP="00DA2BFA">
      <w:pPr>
        <w:spacing w:after="240"/>
        <w:ind w:left="1134" w:right="1134"/>
        <w:contextualSpacing/>
        <w:jc w:val="both"/>
        <w:rPr>
          <w:rFonts w:ascii="Arial" w:hAnsi="Arial"/>
          <w:noProof w:val="0"/>
        </w:rPr>
      </w:pPr>
      <w:r w:rsidRPr="00AE33D8">
        <w:rPr>
          <w:rFonts w:ascii="Arial" w:hAnsi="Arial"/>
          <w:b/>
          <w:bCs/>
          <w:noProof w:val="0"/>
          <w:rtl/>
        </w:rPr>
        <w:t>"אדם חייב במזונות בן-זוגו לפי הוראות הדין האישי החל עליו, והוראות חוק זה לא יחולו על מזונות אלה".</w:t>
      </w:r>
    </w:p>
    <w:p w:rsidR="00AE33D8" w:rsidRPr="00AE33D8" w:rsidRDefault="00AE33D8" w:rsidP="00AE33D8">
      <w:pPr>
        <w:spacing w:after="240" w:line="360" w:lineRule="auto"/>
        <w:contextualSpacing/>
        <w:jc w:val="both"/>
        <w:rPr>
          <w:rFonts w:ascii="Arial" w:hAnsi="Arial"/>
          <w:noProof w:val="0"/>
        </w:rPr>
      </w:pPr>
    </w:p>
    <w:p w:rsidR="00AE33D8" w:rsidRPr="00AE33D8" w:rsidRDefault="00AE33D8" w:rsidP="00AE33D8">
      <w:pPr>
        <w:spacing w:after="240" w:line="360" w:lineRule="auto"/>
        <w:contextualSpacing/>
        <w:jc w:val="both"/>
        <w:rPr>
          <w:rFonts w:ascii="Arial" w:hAnsi="Arial"/>
          <w:noProof w:val="0"/>
          <w:highlight w:val="yellow"/>
        </w:rPr>
      </w:pPr>
      <w:r w:rsidRPr="00AE33D8">
        <w:rPr>
          <w:rFonts w:ascii="Arial" w:hAnsi="Arial"/>
          <w:noProof w:val="0"/>
          <w:rtl/>
        </w:rPr>
        <w:t>45.</w:t>
      </w:r>
      <w:r w:rsidRPr="00AE33D8">
        <w:rPr>
          <w:rFonts w:ascii="Arial" w:hAnsi="Arial"/>
          <w:noProof w:val="0"/>
          <w:rtl/>
        </w:rPr>
        <w:tab/>
        <w:t xml:space="preserve">הזכות למזונות אישה בדין העברי נובעת מעצם הנישואין. זכות זו פוקעת בנסיבות שבהן האישה נמצאה "מורדת" על פי הדין העברי או כאשר נמצאה עילה לחייבה בגט, כמו במקרה של בגידה למשל (ע"א 634/61 </w:t>
      </w:r>
      <w:r w:rsidRPr="00AE33D8">
        <w:rPr>
          <w:rFonts w:ascii="Arial" w:hAnsi="Arial"/>
          <w:b/>
          <w:bCs/>
          <w:noProof w:val="0"/>
          <w:rtl/>
        </w:rPr>
        <w:t>מקיטן נ' מקיטן</w:t>
      </w:r>
      <w:r w:rsidRPr="00AE33D8">
        <w:rPr>
          <w:rFonts w:ascii="Arial" w:hAnsi="Arial"/>
          <w:noProof w:val="0"/>
          <w:rtl/>
        </w:rPr>
        <w:t xml:space="preserve"> פ"ד טז  945 (1962); ע"א 256/65 </w:t>
      </w:r>
      <w:r w:rsidRPr="00AE33D8">
        <w:rPr>
          <w:rFonts w:ascii="Arial" w:hAnsi="Arial"/>
          <w:b/>
          <w:bCs/>
          <w:noProof w:val="0"/>
          <w:rtl/>
        </w:rPr>
        <w:t>מילר נ' מילר</w:t>
      </w:r>
      <w:r w:rsidRPr="00AE33D8">
        <w:rPr>
          <w:rFonts w:ascii="Arial" w:hAnsi="Arial"/>
          <w:noProof w:val="0"/>
          <w:rtl/>
        </w:rPr>
        <w:t xml:space="preserve">, פ"ד יט(3)  171 (1965); בג"צ 206/70 </w:t>
      </w:r>
      <w:r w:rsidRPr="00AE33D8">
        <w:rPr>
          <w:rFonts w:ascii="Arial" w:hAnsi="Arial"/>
          <w:b/>
          <w:bCs/>
          <w:noProof w:val="0"/>
          <w:rtl/>
        </w:rPr>
        <w:t>שרגאי נ' בית הדין הרבני האזורי ירושלים ואח'</w:t>
      </w:r>
      <w:r w:rsidRPr="00AE33D8">
        <w:rPr>
          <w:rFonts w:ascii="Arial" w:hAnsi="Arial"/>
          <w:noProof w:val="0"/>
          <w:rtl/>
        </w:rPr>
        <w:t>, פ"ד כד(2) 487) (1970).</w:t>
      </w:r>
    </w:p>
    <w:p w:rsidR="00AE33D8" w:rsidRPr="00AE33D8" w:rsidRDefault="00AE33D8" w:rsidP="00AE33D8">
      <w:pPr>
        <w:spacing w:after="120" w:line="276" w:lineRule="auto"/>
        <w:ind w:left="720"/>
        <w:contextualSpacing/>
        <w:rPr>
          <w:rFonts w:ascii="Arial" w:hAnsi="Arial"/>
          <w:noProof w:val="0"/>
          <w:highlight w:val="yellow"/>
        </w:rPr>
      </w:pPr>
    </w:p>
    <w:p w:rsidR="00AE33D8" w:rsidRPr="00AE33D8" w:rsidRDefault="00AE33D8" w:rsidP="00DA2BFA">
      <w:pPr>
        <w:numPr>
          <w:ilvl w:val="0"/>
          <w:numId w:val="11"/>
        </w:numPr>
        <w:spacing w:after="240" w:line="360" w:lineRule="auto"/>
        <w:ind w:left="-1" w:firstLine="1"/>
        <w:contextualSpacing/>
        <w:jc w:val="both"/>
        <w:rPr>
          <w:rFonts w:ascii="Arial" w:hAnsi="Arial"/>
          <w:noProof w:val="0"/>
          <w:rtl/>
        </w:rPr>
      </w:pPr>
      <w:r w:rsidRPr="00AE33D8">
        <w:rPr>
          <w:rFonts w:ascii="Arial" w:hAnsi="Arial"/>
          <w:noProof w:val="0"/>
          <w:rtl/>
        </w:rPr>
        <w:t>אשר לפערי ההשתכרות שבין הצדדים, נקבע כי יש ליתן משמעות לפערים אלו, מקום שבו עלולים הם להוביל ללחצים כלכליים, וללקיחת החלטות לא מאוזנות במהלך ניהול ההליך המשפטי</w:t>
      </w:r>
      <w:r w:rsidRPr="00AE33D8">
        <w:rPr>
          <w:rFonts w:ascii="David" w:hAnsi="David"/>
          <w:noProof w:val="0"/>
          <w:rtl/>
        </w:rPr>
        <w:t xml:space="preserve"> (ראו- בר"ע (י-ם) 1081/05 </w:t>
      </w:r>
      <w:r w:rsidRPr="00AE33D8">
        <w:rPr>
          <w:rFonts w:ascii="David" w:hAnsi="David"/>
          <w:b/>
          <w:bCs/>
          <w:noProof w:val="0"/>
          <w:rtl/>
        </w:rPr>
        <w:t>פלוני נ' אלמוני</w:t>
      </w:r>
      <w:r w:rsidRPr="00AE33D8">
        <w:rPr>
          <w:rFonts w:ascii="David" w:hAnsi="David"/>
          <w:noProof w:val="0"/>
          <w:rtl/>
        </w:rPr>
        <w:t xml:space="preserve"> פסקה 69 (8.8.2006)).</w:t>
      </w:r>
    </w:p>
    <w:p w:rsidR="00AE33D8" w:rsidRPr="00AE33D8" w:rsidRDefault="00AE33D8" w:rsidP="00DA2BFA">
      <w:pPr>
        <w:spacing w:after="240" w:line="360" w:lineRule="auto"/>
        <w:ind w:firstLine="1"/>
        <w:contextualSpacing/>
        <w:jc w:val="both"/>
        <w:rPr>
          <w:rFonts w:ascii="Arial" w:hAnsi="Arial"/>
          <w:noProof w:val="0"/>
        </w:rPr>
      </w:pPr>
    </w:p>
    <w:p w:rsidR="00AE33D8" w:rsidRPr="00AE33D8" w:rsidRDefault="00AE33D8" w:rsidP="00DA2BFA">
      <w:pPr>
        <w:numPr>
          <w:ilvl w:val="0"/>
          <w:numId w:val="11"/>
        </w:numPr>
        <w:spacing w:after="240" w:line="360" w:lineRule="auto"/>
        <w:ind w:left="0" w:firstLine="1"/>
        <w:contextualSpacing/>
        <w:jc w:val="both"/>
        <w:rPr>
          <w:rFonts w:ascii="Arial" w:hAnsi="Arial"/>
          <w:noProof w:val="0"/>
        </w:rPr>
      </w:pPr>
      <w:r w:rsidRPr="00AE33D8">
        <w:rPr>
          <w:rFonts w:ascii="Arial" w:hAnsi="Arial"/>
          <w:noProof w:val="0"/>
          <w:rtl/>
        </w:rPr>
        <w:t xml:space="preserve">ככלל, הזכות למזונות, עומדת לאישה רק מקום שבו היא חיה עם בעלה. מצב שבו בני הזוג חיים בנפרד, נדרש להתחקות אחר המקור לפירוד (בנציון שרשבסקי ומיכאל קורינלדי </w:t>
      </w:r>
      <w:r w:rsidRPr="00AE33D8">
        <w:rPr>
          <w:rFonts w:ascii="Arial" w:hAnsi="Arial"/>
          <w:b/>
          <w:bCs/>
          <w:noProof w:val="0"/>
          <w:rtl/>
        </w:rPr>
        <w:t>דיני משפחה</w:t>
      </w:r>
      <w:r w:rsidRPr="00AE33D8">
        <w:rPr>
          <w:rFonts w:ascii="Arial" w:hAnsi="Arial"/>
          <w:noProof w:val="0"/>
          <w:rtl/>
        </w:rPr>
        <w:t xml:space="preserve"> כרך א' (2015) 335 מהדורה ד מורחבת (1993). במקרה שלפניי, הצדדים עודם נשואים אך חיים בנפרד. </w:t>
      </w:r>
    </w:p>
    <w:p w:rsidR="00AE33D8" w:rsidRPr="00AE33D8" w:rsidRDefault="00AE33D8" w:rsidP="00DA2BFA">
      <w:pPr>
        <w:spacing w:after="240" w:line="360" w:lineRule="auto"/>
        <w:ind w:firstLine="1"/>
        <w:contextualSpacing/>
        <w:jc w:val="both"/>
        <w:rPr>
          <w:rFonts w:ascii="Arial" w:hAnsi="Arial"/>
          <w:noProof w:val="0"/>
        </w:rPr>
      </w:pPr>
    </w:p>
    <w:p w:rsidR="00AE33D8" w:rsidRPr="00AE33D8" w:rsidRDefault="00AE33D8" w:rsidP="00DA2BFA">
      <w:pPr>
        <w:numPr>
          <w:ilvl w:val="0"/>
          <w:numId w:val="11"/>
        </w:numPr>
        <w:spacing w:after="240" w:line="360" w:lineRule="auto"/>
        <w:ind w:left="0" w:firstLine="1"/>
        <w:contextualSpacing/>
        <w:jc w:val="both"/>
        <w:rPr>
          <w:rFonts w:ascii="Arial" w:hAnsi="Arial"/>
          <w:noProof w:val="0"/>
          <w:rtl/>
        </w:rPr>
      </w:pPr>
      <w:r w:rsidRPr="00AE33D8">
        <w:rPr>
          <w:rFonts w:ascii="David" w:hAnsi="David"/>
          <w:noProof w:val="0"/>
          <w:rtl/>
        </w:rPr>
        <w:t>אכן, על פי הדין העברי יש לפסוק מזונות אישה על פי רמת החיים אליה הורגלה, תוך יישום הכלל "עולה עמו ואינה יורדת עמו" (</w:t>
      </w:r>
      <w:hyperlink w:history="1">
        <w:r w:rsidRPr="00AE33D8">
          <w:rPr>
            <w:rFonts w:ascii="David" w:hAnsi="David"/>
            <w:noProof w:val="0"/>
            <w:rtl/>
          </w:rPr>
          <w:t xml:space="preserve">ע"א 130/83 </w:t>
        </w:r>
        <w:r w:rsidRPr="00AE33D8">
          <w:rPr>
            <w:rFonts w:ascii="David" w:hAnsi="David"/>
            <w:b/>
            <w:bCs/>
            <w:noProof w:val="0"/>
            <w:rtl/>
          </w:rPr>
          <w:t xml:space="preserve">פרייס נ' פרייס </w:t>
        </w:r>
        <w:r w:rsidRPr="00AE33D8">
          <w:rPr>
            <w:rFonts w:ascii="David" w:hAnsi="David"/>
            <w:noProof w:val="0"/>
            <w:rtl/>
          </w:rPr>
          <w:t>פ"ד לח</w:t>
        </w:r>
      </w:hyperlink>
      <w:r w:rsidRPr="00AE33D8">
        <w:rPr>
          <w:rFonts w:ascii="David" w:hAnsi="David"/>
          <w:noProof w:val="0"/>
          <w:rtl/>
        </w:rPr>
        <w:t xml:space="preserve"> (1) 721 (1984). מעיון בתלושי המשכורת של התובעת עולה, כי הכנסתה כ- 15,000 ש"ח לנוכח ההטבות הגלומות בו. התובעת בעלת רקע תעסוקתי ויכולת השתכרות. על כן, אני מוצאת לנכון לקבל את טענת הנתבע, כי "למעשי ידיה" של התובעת יש נפקות לעניין קביעת מזונותיה, וכי בנסיבות המקרה דנן, </w:t>
      </w:r>
      <w:r w:rsidRPr="00AE33D8">
        <w:rPr>
          <w:rFonts w:ascii="David" w:hAnsi="David"/>
          <w:b/>
          <w:bCs/>
          <w:noProof w:val="0"/>
          <w:rtl/>
        </w:rPr>
        <w:t>אין הנתבע נדרש לשאת במזונותיה</w:t>
      </w:r>
      <w:r w:rsidRPr="00AE33D8">
        <w:rPr>
          <w:rFonts w:ascii="David" w:hAnsi="David"/>
          <w:noProof w:val="0"/>
          <w:rtl/>
        </w:rPr>
        <w:t>.</w:t>
      </w:r>
      <w:r w:rsidRPr="00AE33D8">
        <w:rPr>
          <w:rFonts w:ascii="David" w:hAnsi="David"/>
          <w:b/>
          <w:bCs/>
          <w:noProof w:val="0"/>
          <w:rtl/>
        </w:rPr>
        <w:t xml:space="preserve"> </w:t>
      </w:r>
    </w:p>
    <w:p w:rsidR="00AE33D8" w:rsidRPr="00AE33D8" w:rsidRDefault="00AE33D8" w:rsidP="00DA2BFA">
      <w:pPr>
        <w:spacing w:after="120" w:line="276" w:lineRule="auto"/>
        <w:ind w:firstLine="1"/>
        <w:contextualSpacing/>
        <w:rPr>
          <w:rFonts w:ascii="Arial" w:hAnsi="Arial"/>
          <w:noProof w:val="0"/>
        </w:rPr>
      </w:pPr>
    </w:p>
    <w:p w:rsidR="00AE33D8" w:rsidRPr="00AE33D8" w:rsidRDefault="00AE33D8" w:rsidP="00DA2BFA">
      <w:pPr>
        <w:numPr>
          <w:ilvl w:val="0"/>
          <w:numId w:val="11"/>
        </w:numPr>
        <w:spacing w:after="240" w:line="360" w:lineRule="auto"/>
        <w:ind w:left="0" w:firstLine="1"/>
        <w:contextualSpacing/>
        <w:jc w:val="both"/>
        <w:rPr>
          <w:rFonts w:ascii="Arial" w:hAnsi="Arial"/>
          <w:noProof w:val="0"/>
          <w:rtl/>
        </w:rPr>
      </w:pPr>
      <w:r w:rsidRPr="00AE33D8">
        <w:rPr>
          <w:rFonts w:ascii="Arial" w:hAnsi="Arial"/>
          <w:noProof w:val="0"/>
          <w:rtl/>
        </w:rPr>
        <w:t xml:space="preserve">בתצהירה ובסיכומיה, עתרה התובעת לראשונה לסעד שלא מצא את זכרו בכתב התביעה. </w:t>
      </w:r>
      <w:r w:rsidRPr="00AE33D8">
        <w:rPr>
          <w:rFonts w:ascii="Arial" w:hAnsi="Arial"/>
          <w:b/>
          <w:bCs/>
          <w:noProof w:val="0"/>
          <w:rtl/>
        </w:rPr>
        <w:t>פסיקת סכום חודשי</w:t>
      </w:r>
      <w:r w:rsidRPr="00AE33D8">
        <w:rPr>
          <w:rFonts w:ascii="Arial" w:hAnsi="Arial"/>
          <w:noProof w:val="0"/>
          <w:rtl/>
        </w:rPr>
        <w:t xml:space="preserve">, עד לתום ההליך הרכושי, כאשר בתום ההליך יוכרע סיווגם, האם לפנינו חיוב במזונות אשה או שמא מדובר בכספים על חשבון חלקה ברכוש. לשם אישוש טענתה, התובעת צרפה לסיכומיה שני עמודים מהחלטה שלא פורסמה, של כב' השופטת אפרת ונקרט תלה"מ 31031-06-18 מיום 8.3.20219. מצאתי כי קיים קושי לאמוד את מהות ההחלטה והתאמתה למקרה שלפניי. מצופה היה להמציא ליאת כל ההחלטה. לחסר יש נפקות. לא ניתן להבין מההחלטה על בסיס מה משולם התשלום; אילו ראיות היו בתיק; כמה שנים חיו הצדדים יחדיו; כאשר ניתן מההחלטה החלקית </w:t>
      </w:r>
      <w:r w:rsidRPr="00AE33D8">
        <w:rPr>
          <w:rFonts w:ascii="Arial" w:hAnsi="Arial"/>
          <w:noProof w:val="0"/>
          <w:rtl/>
        </w:rPr>
        <w:lastRenderedPageBreak/>
        <w:t>שצורפה, להסיק כי הסכומים הגבוהים שהועברו לידי האשה היו על חשבון הרכוש בהסכמת הצדדים כטענת הבעל. משכך אני מניחה שבית המשפט מצא איזון בהחלטתו בבקשה למזונות זמניים, כדי להמשיך בתשלום אותו שילם הבעל במשך שנים, ורק בסופו של יום להכריע בסיווגם עם מתן פסק הדין. זה לא המקרה שמונח לפניי. משכך לא מצאתי מקום להשית על הנתבע תשלום מזונות "על חשבון" חלקה של התובעת ברכוש המשותף.</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DA2BFA">
      <w:pPr>
        <w:numPr>
          <w:ilvl w:val="0"/>
          <w:numId w:val="11"/>
        </w:numPr>
        <w:spacing w:after="240" w:line="360" w:lineRule="auto"/>
        <w:ind w:left="0" w:hanging="1"/>
        <w:contextualSpacing/>
        <w:jc w:val="both"/>
        <w:rPr>
          <w:rFonts w:ascii="Arial" w:hAnsi="Arial"/>
          <w:noProof w:val="0"/>
          <w:rtl/>
        </w:rPr>
      </w:pPr>
      <w:r w:rsidRPr="00AE33D8">
        <w:rPr>
          <w:rFonts w:ascii="Arial" w:hAnsi="Arial"/>
          <w:noProof w:val="0"/>
          <w:rtl/>
        </w:rPr>
        <w:t xml:space="preserve"> התובעת שלפניי מסרבת להתגרש מזה כשלוש וחצי שנים. דומה כי עתירה למזונות אשה בנסיבות כגון דא אינה עולה בקנה אחד עם חובת תום הלב, שחלה גם על דיני המזונות (ראו- ע"א 700/81 </w:t>
      </w:r>
      <w:r w:rsidRPr="00AE33D8">
        <w:rPr>
          <w:rFonts w:ascii="Arial" w:hAnsi="Arial"/>
          <w:b/>
          <w:bCs/>
          <w:noProof w:val="0"/>
          <w:rtl/>
        </w:rPr>
        <w:t>מיכל פז נ' אליהו פז</w:t>
      </w:r>
      <w:r w:rsidRPr="00AE33D8">
        <w:rPr>
          <w:rFonts w:ascii="Arial" w:hAnsi="Arial"/>
          <w:noProof w:val="0"/>
          <w:rtl/>
        </w:rPr>
        <w:t>, פ"ד לח (2) 736, 742 (1984).</w:t>
      </w:r>
    </w:p>
    <w:p w:rsidR="00AE33D8" w:rsidRPr="00AE33D8" w:rsidRDefault="00AE33D8" w:rsidP="00DA2BFA">
      <w:pPr>
        <w:spacing w:after="240" w:line="360" w:lineRule="auto"/>
        <w:contextualSpacing/>
        <w:jc w:val="both"/>
        <w:rPr>
          <w:rFonts w:ascii="Arial" w:hAnsi="Arial"/>
          <w:noProof w:val="0"/>
          <w:rtl/>
        </w:rPr>
      </w:pPr>
    </w:p>
    <w:p w:rsidR="00AE33D8" w:rsidRPr="00AE33D8" w:rsidRDefault="00AE33D8" w:rsidP="00DA2BFA">
      <w:pPr>
        <w:numPr>
          <w:ilvl w:val="0"/>
          <w:numId w:val="11"/>
        </w:numPr>
        <w:spacing w:after="240" w:line="360" w:lineRule="auto"/>
        <w:ind w:left="0" w:firstLine="0"/>
        <w:contextualSpacing/>
        <w:jc w:val="both"/>
        <w:rPr>
          <w:rFonts w:ascii="Arial" w:hAnsi="Arial"/>
          <w:noProof w:val="0"/>
        </w:rPr>
      </w:pPr>
      <w:r w:rsidRPr="00AE33D8">
        <w:rPr>
          <w:rFonts w:ascii="David" w:hAnsi="David"/>
          <w:noProof w:val="0"/>
          <w:rtl/>
        </w:rPr>
        <w:t xml:space="preserve">הנה כי כן, </w:t>
      </w:r>
      <w:r w:rsidRPr="00AE33D8">
        <w:rPr>
          <w:rFonts w:ascii="David" w:hAnsi="David"/>
          <w:b/>
          <w:noProof w:val="0"/>
          <w:rtl/>
        </w:rPr>
        <w:t xml:space="preserve">לא מצאתי כי פערי הכוחות בין הצדדים עלולים להוביל לוויתורים מצד התובעת אשר לזכויות הרכושיות המגיעות לה, מתוך רצון להימנע מהתדיינות ממושכת שבה לא תוכל לעמוד מבחינה כלכלית. </w:t>
      </w:r>
      <w:r w:rsidRPr="00AE33D8">
        <w:rPr>
          <w:rFonts w:ascii="Arial" w:hAnsi="Arial"/>
          <w:noProof w:val="0"/>
          <w:rtl/>
        </w:rPr>
        <w:t xml:space="preserve">בשים לב לטעמים אותם פירט הנתבע בסיכומיו ולנוכח מעשי ידיה של התובעת, סבורתני כי די בכך, כדי לאזן באופן </w:t>
      </w:r>
      <w:r w:rsidRPr="00AE33D8">
        <w:rPr>
          <w:rFonts w:ascii="David" w:hAnsi="David"/>
          <w:b/>
          <w:noProof w:val="0"/>
          <w:rtl/>
        </w:rPr>
        <w:t xml:space="preserve">ראוי בין החלת הדין לבין החלתן של נורמות מוסריות הנובעות מעיקרון תום הלב. </w:t>
      </w:r>
    </w:p>
    <w:p w:rsidR="00AE33D8" w:rsidRPr="00AE33D8" w:rsidRDefault="00AE33D8" w:rsidP="00DA2BFA">
      <w:pPr>
        <w:spacing w:after="120" w:line="276" w:lineRule="auto"/>
        <w:contextualSpacing/>
        <w:rPr>
          <w:rFonts w:ascii="David" w:hAnsi="David"/>
          <w:b/>
          <w:noProof w:val="0"/>
        </w:rPr>
      </w:pPr>
    </w:p>
    <w:p w:rsidR="00AE33D8" w:rsidRPr="00AE33D8" w:rsidRDefault="00AE33D8" w:rsidP="00DA2BFA">
      <w:pPr>
        <w:numPr>
          <w:ilvl w:val="0"/>
          <w:numId w:val="11"/>
        </w:numPr>
        <w:spacing w:after="240" w:line="360" w:lineRule="auto"/>
        <w:ind w:left="0" w:firstLine="0"/>
        <w:contextualSpacing/>
        <w:jc w:val="both"/>
        <w:rPr>
          <w:rFonts w:ascii="Arial" w:hAnsi="Arial"/>
          <w:noProof w:val="0"/>
          <w:rtl/>
        </w:rPr>
      </w:pPr>
      <w:r w:rsidRPr="00AE33D8">
        <w:rPr>
          <w:rtl/>
        </w:rPr>
        <mc:AlternateContent>
          <mc:Choice Requires="wps">
            <w:drawing>
              <wp:anchor distT="0" distB="0" distL="114300" distR="114300" simplePos="0" relativeHeight="251669504" behindDoc="1" locked="0" layoutInCell="1" allowOverlap="1" wp14:anchorId="0A057E72" wp14:editId="7BD122E8">
                <wp:simplePos x="0" y="0"/>
                <wp:positionH relativeFrom="column">
                  <wp:posOffset>1231318</wp:posOffset>
                </wp:positionH>
                <wp:positionV relativeFrom="paragraph">
                  <wp:posOffset>19685</wp:posOffset>
                </wp:positionV>
                <wp:extent cx="4237355" cy="295910"/>
                <wp:effectExtent l="57150" t="38100" r="67945" b="104140"/>
                <wp:wrapNone/>
                <wp:docPr id="44" name="מלבן 15"/>
                <wp:cNvGraphicFramePr/>
                <a:graphic xmlns:a="http://schemas.openxmlformats.org/drawingml/2006/main">
                  <a:graphicData uri="http://schemas.microsoft.com/office/word/2010/wordprocessingShape">
                    <wps:wsp>
                      <wps:cNvSpPr/>
                      <wps:spPr>
                        <a:xfrm>
                          <a:off x="0" y="0"/>
                          <a:ext cx="4237355" cy="29591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4FC5B63" id="מלבן 15" o:spid="_x0000_s1026" style="position:absolute;left:0;text-align:left;margin-left:96.95pt;margin-top:1.55pt;width:333.65pt;height:23.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" fillcolor="#bcbcbc">
                <v:fill color2="#ededed" rotate="t" angle="180" colors="0 #bcbcbc;22938f #d0d0d0;1 #ededed" focus="100%" type="gradient"/>
                <v:shadow on="t" color="black" opacity="24903f" origin=",.5" offset="0,.55556mm"/>
              </v:rect>
            </w:pict>
          </mc:Fallback>
        </mc:AlternateContent>
      </w:r>
      <w:r w:rsidRPr="00AE33D8">
        <w:rPr>
          <w:rFonts w:ascii="David" w:hAnsi="David"/>
          <w:b/>
          <w:noProof w:val="0"/>
          <w:rtl/>
        </w:rPr>
        <w:t>לנוכח כל האמור</w:t>
      </w:r>
      <w:r w:rsidRPr="00AE33D8">
        <w:rPr>
          <w:rFonts w:ascii="David" w:hAnsi="David"/>
          <w:bCs/>
          <w:noProof w:val="0"/>
          <w:rtl/>
        </w:rPr>
        <w:t>, לא מצאתי לחייב את הנתבע במזונות אשה</w:t>
      </w:r>
      <w:r w:rsidRPr="00AE33D8">
        <w:rPr>
          <w:rFonts w:ascii="David" w:hAnsi="David"/>
          <w:b/>
          <w:noProof w:val="0"/>
          <w:rtl/>
        </w:rPr>
        <w:t xml:space="preserve">.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spacing w:after="240" w:line="360" w:lineRule="auto"/>
        <w:contextualSpacing/>
        <w:jc w:val="both"/>
        <w:rPr>
          <w:rFonts w:ascii="Arial" w:hAnsi="Arial"/>
          <w:noProof w:val="0"/>
          <w:rtl/>
        </w:rPr>
      </w:pPr>
      <w:r w:rsidRPr="00AE33D8">
        <w:rPr>
          <w:rFonts w:ascii="Arial" w:hAnsi="Arial"/>
          <w:noProof w:val="0"/>
          <w:rtl/>
        </w:rPr>
        <w:t>עתה אעבור לבחינת מזונות הקטינים.</w:t>
      </w:r>
    </w:p>
    <w:p w:rsidR="00AE33D8" w:rsidRPr="00AE33D8" w:rsidRDefault="00AE33D8" w:rsidP="00AE33D8">
      <w:pPr>
        <w:spacing w:after="240" w:line="360" w:lineRule="auto"/>
        <w:jc w:val="both"/>
        <w:rPr>
          <w:rFonts w:ascii="Arial" w:hAnsi="Arial"/>
          <w:b/>
          <w:bCs/>
          <w:noProof w:val="0"/>
          <w:sz w:val="28"/>
          <w:szCs w:val="28"/>
          <w:u w:val="single"/>
        </w:rPr>
      </w:pPr>
      <w:r w:rsidRPr="00AE33D8">
        <w:rPr>
          <w:rFonts w:ascii="Arial" w:hAnsi="Arial"/>
          <w:b/>
          <w:bCs/>
          <w:noProof w:val="0"/>
          <w:sz w:val="28"/>
          <w:szCs w:val="28"/>
          <w:u w:val="single"/>
          <w:rtl/>
        </w:rPr>
        <w:t>מזונות קטינים</w:t>
      </w:r>
    </w:p>
    <w:p w:rsidR="00AE33D8" w:rsidRPr="00AE33D8" w:rsidRDefault="00AE33D8" w:rsidP="00A04AFF">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סעיף 3(א) לחוק, קובע:</w:t>
      </w:r>
    </w:p>
    <w:p w:rsidR="00AE33D8" w:rsidRPr="00AE33D8" w:rsidRDefault="00AE33D8" w:rsidP="00A04AFF">
      <w:pPr>
        <w:spacing w:after="120"/>
        <w:ind w:left="1134" w:right="1559"/>
        <w:contextualSpacing/>
        <w:jc w:val="both"/>
        <w:rPr>
          <w:rFonts w:ascii="David" w:hAnsi="David"/>
          <w:noProof w:val="0"/>
        </w:rPr>
      </w:pPr>
      <w:r w:rsidRPr="00AE33D8">
        <w:rPr>
          <w:rFonts w:ascii="David" w:hAnsi="David"/>
          <w:noProof w:val="0"/>
          <w:rtl/>
        </w:rPr>
        <w:t>"</w:t>
      </w:r>
      <w:r w:rsidRPr="00AE33D8">
        <w:rPr>
          <w:rFonts w:ascii="David" w:hAnsi="David"/>
          <w:b/>
          <w:bCs/>
          <w:noProof w:val="0"/>
          <w:rtl/>
        </w:rPr>
        <w:t>אדם חייו במזונות הילדים הקטינים שלו והילדים הקטינים של בן זוגו לפי הוראות הדין האישי החל עליו, והוראות חוק זה לא יחולו על מזונות אלה</w:t>
      </w:r>
      <w:r w:rsidRPr="00AE33D8">
        <w:rPr>
          <w:rFonts w:ascii="David" w:hAnsi="David"/>
          <w:noProof w:val="0"/>
          <w:rtl/>
        </w:rPr>
        <w:t>".</w:t>
      </w:r>
    </w:p>
    <w:p w:rsidR="00AE33D8" w:rsidRPr="00AE33D8" w:rsidRDefault="00AE33D8" w:rsidP="00A04AFF">
      <w:pPr>
        <w:spacing w:after="240" w:line="360" w:lineRule="auto"/>
        <w:contextualSpacing/>
        <w:jc w:val="both"/>
        <w:rPr>
          <w:rFonts w:ascii="Arial" w:hAnsi="Arial"/>
          <w:noProof w:val="0"/>
        </w:rPr>
      </w:pPr>
      <w:r w:rsidRPr="00AE33D8">
        <w:rPr>
          <w:rFonts w:ascii="Arial" w:hAnsi="Arial"/>
          <w:noProof w:val="0"/>
          <w:rtl/>
        </w:rPr>
        <w:t xml:space="preserve"> </w:t>
      </w:r>
    </w:p>
    <w:p w:rsidR="00AE33D8" w:rsidRPr="00AE33D8" w:rsidRDefault="00AE33D8" w:rsidP="00A04AFF">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הצדדים שלפני יהודיים, משכך, חייב הנתבע במזונות ילדיו הקטינים על פי הדין העברי.</w:t>
      </w:r>
    </w:p>
    <w:p w:rsidR="00AE33D8" w:rsidRPr="00AE33D8" w:rsidRDefault="00AE33D8" w:rsidP="00A04AFF">
      <w:pPr>
        <w:spacing w:after="240" w:line="360" w:lineRule="auto"/>
        <w:contextualSpacing/>
        <w:jc w:val="both"/>
        <w:rPr>
          <w:rFonts w:ascii="Arial" w:hAnsi="Arial"/>
          <w:noProof w:val="0"/>
        </w:rPr>
      </w:pPr>
    </w:p>
    <w:p w:rsidR="00AE33D8" w:rsidRPr="00AE33D8" w:rsidRDefault="00AE33D8" w:rsidP="00A04AFF">
      <w:pPr>
        <w:numPr>
          <w:ilvl w:val="0"/>
          <w:numId w:val="11"/>
        </w:numPr>
        <w:spacing w:after="120" w:line="360" w:lineRule="auto"/>
        <w:ind w:left="0" w:firstLine="0"/>
        <w:contextualSpacing/>
        <w:jc w:val="both"/>
        <w:rPr>
          <w:rFonts w:ascii="David" w:hAnsi="David"/>
          <w:noProof w:val="0"/>
        </w:rPr>
      </w:pPr>
      <w:r w:rsidRPr="00AE33D8">
        <w:rPr>
          <w:rFonts w:ascii="David" w:hAnsi="David"/>
          <w:noProof w:val="0"/>
          <w:rtl/>
        </w:rPr>
        <w:t xml:space="preserve">על פי הדין העברי ישנם מספר 'מעגלי חבות' במזונות: מעגל מזונות החובה ומעגל מזונות הצדקה. עד לבע"מ 919/15 הגישה בפסיקה הייתה שביחס לקטינים עד גיל 15 שנים, חב האב חבות אבסולוטית במזונות ילדיו ביחס לצרכיהם ההכרחיים ומעבר לגיל 15 שנים, חל דין צדקה על שני ההורים. </w:t>
      </w:r>
    </w:p>
    <w:p w:rsidR="00AE33D8" w:rsidRPr="00AE33D8" w:rsidRDefault="00AE33D8" w:rsidP="00A04AFF">
      <w:pPr>
        <w:spacing w:after="200" w:line="276" w:lineRule="auto"/>
        <w:contextualSpacing/>
        <w:jc w:val="both"/>
        <w:rPr>
          <w:rFonts w:ascii="David" w:hAnsi="David"/>
          <w:noProof w:val="0"/>
          <w:rtl/>
        </w:rPr>
      </w:pPr>
    </w:p>
    <w:p w:rsidR="00AE33D8" w:rsidRPr="00AE33D8" w:rsidRDefault="00AE33D8" w:rsidP="00AE33D8">
      <w:pPr>
        <w:spacing w:after="120" w:line="360" w:lineRule="auto"/>
        <w:ind w:left="-1" w:firstLine="721"/>
        <w:contextualSpacing/>
        <w:jc w:val="both"/>
        <w:rPr>
          <w:rFonts w:ascii="David" w:hAnsi="David"/>
          <w:noProof w:val="0"/>
          <w:rtl/>
        </w:rPr>
      </w:pPr>
      <w:r w:rsidRPr="00AE33D8">
        <w:rPr>
          <w:rFonts w:ascii="David" w:hAnsi="David"/>
          <w:noProof w:val="0"/>
          <w:rtl/>
        </w:rPr>
        <w:t xml:space="preserve">בבע"מ 919/15 נקבע, כי בגילאי 6- 15 תחול על שני ההורים האחריות למזונות הילדים באופן שווה מדין צדקה, כאשר היקף החיוב ייקבע על בסיס יכולותיהם הכלכליות היחסיות </w:t>
      </w:r>
      <w:r w:rsidRPr="00AE33D8">
        <w:rPr>
          <w:rFonts w:ascii="David" w:hAnsi="David"/>
          <w:b/>
          <w:bCs/>
          <w:noProof w:val="0"/>
          <w:rtl/>
        </w:rPr>
        <w:t>מכלל המקורות</w:t>
      </w:r>
      <w:r w:rsidRPr="00AE33D8">
        <w:rPr>
          <w:rFonts w:ascii="David" w:hAnsi="David"/>
          <w:noProof w:val="0"/>
          <w:rtl/>
        </w:rPr>
        <w:t xml:space="preserve">, </w:t>
      </w:r>
      <w:r w:rsidRPr="00AE33D8">
        <w:rPr>
          <w:rFonts w:ascii="David" w:hAnsi="David"/>
          <w:noProof w:val="0"/>
          <w:rtl/>
        </w:rPr>
        <w:lastRenderedPageBreak/>
        <w:t xml:space="preserve">לרבות הכנסה מעבודה ובהתחשב בחלוקת זמני השהות של הקטינים ובהתחשב ביתר נסיבות העניין, כפי האמור בסעיף 147 לחוות דעתו של כבוד השופט ע' פוגלמן בעמ' 87 לפסק הדין: </w:t>
      </w:r>
    </w:p>
    <w:p w:rsidR="00AE33D8" w:rsidRPr="00AE33D8" w:rsidRDefault="00AE33D8" w:rsidP="00A04AFF">
      <w:pPr>
        <w:spacing w:after="120"/>
        <w:ind w:left="1133" w:right="1134"/>
        <w:contextualSpacing/>
        <w:jc w:val="both"/>
        <w:rPr>
          <w:rFonts w:ascii="David" w:hAnsi="David"/>
          <w:noProof w:val="0"/>
          <w:color w:val="000000" w:themeColor="text1"/>
          <w:rtl/>
        </w:rPr>
      </w:pPr>
      <w:r w:rsidRPr="00AE33D8">
        <w:rPr>
          <w:rFonts w:ascii="David" w:hAnsi="David"/>
          <w:noProof w:val="0"/>
          <w:rtl/>
        </w:rPr>
        <w:t>"</w:t>
      </w:r>
      <w:r w:rsidRPr="00AE33D8">
        <w:rPr>
          <w:rFonts w:ascii="David" w:hAnsi="David"/>
          <w:b/>
          <w:bCs/>
          <w:noProof w:val="0"/>
          <w:rtl/>
        </w:rPr>
        <w:t xml:space="preserve">בגילאי 6-15 חבים שני ההורים באופן שווה במזונות ילדיהם מדין צדקה, תוך שהחלוקה תקבע על פי יכולותיהם הכלכליות היחסיות מכלל המקורות העומדים לרשותם, לרבות שכר עבודה, בנתון לחלוקת המשמורת הפיזית בפועל, ובשים לב למכלול נסיבות </w:t>
      </w:r>
      <w:r w:rsidRPr="00AE33D8">
        <w:rPr>
          <w:rFonts w:ascii="David" w:hAnsi="David"/>
          <w:b/>
          <w:bCs/>
          <w:noProof w:val="0"/>
          <w:color w:val="000000" w:themeColor="text1"/>
          <w:rtl/>
        </w:rPr>
        <w:t>המקרה</w:t>
      </w:r>
      <w:r w:rsidRPr="00AE33D8">
        <w:rPr>
          <w:rFonts w:ascii="David" w:hAnsi="David"/>
          <w:noProof w:val="0"/>
          <w:color w:val="000000" w:themeColor="text1"/>
          <w:rtl/>
        </w:rPr>
        <w:t>".</w:t>
      </w:r>
    </w:p>
    <w:p w:rsidR="00AE33D8" w:rsidRPr="00AE33D8" w:rsidRDefault="00AE33D8" w:rsidP="00AE33D8">
      <w:pPr>
        <w:spacing w:after="120" w:line="360" w:lineRule="auto"/>
        <w:ind w:left="-1"/>
        <w:contextualSpacing/>
        <w:jc w:val="both"/>
        <w:rPr>
          <w:rFonts w:ascii="David" w:hAnsi="David"/>
          <w:noProof w:val="0"/>
          <w:rtl/>
        </w:rPr>
      </w:pPr>
    </w:p>
    <w:p w:rsidR="00AE33D8" w:rsidRPr="00AE33D8" w:rsidRDefault="00AE33D8" w:rsidP="00AE33D8">
      <w:pPr>
        <w:numPr>
          <w:ilvl w:val="0"/>
          <w:numId w:val="11"/>
        </w:numPr>
        <w:spacing w:after="120" w:line="360" w:lineRule="auto"/>
        <w:ind w:left="-1"/>
        <w:contextualSpacing/>
        <w:jc w:val="both"/>
        <w:rPr>
          <w:rFonts w:ascii="David" w:hAnsi="David"/>
          <w:noProof w:val="0"/>
          <w:rtl/>
        </w:rPr>
      </w:pPr>
      <w:r w:rsidRPr="00AE33D8">
        <w:rPr>
          <w:rFonts w:ascii="David" w:hAnsi="David"/>
          <w:noProof w:val="0"/>
          <w:rtl/>
        </w:rPr>
        <w:t xml:space="preserve">על פי סעיף 8 לפסק דינו המנחה של כב' השופט שאול שוחט אשר ניתן בעקבות בע"מ 919/15, </w:t>
      </w:r>
      <w:r w:rsidRPr="00AE33D8">
        <w:rPr>
          <w:rFonts w:ascii="David" w:hAnsi="David"/>
          <w:noProof w:val="0"/>
          <w:rtl/>
          <w:lang w:eastAsia="he-IL"/>
        </w:rPr>
        <w:t xml:space="preserve">בעמ"ש (ת"א) 14612-10-16 </w:t>
      </w:r>
      <w:r w:rsidRPr="00AE33D8">
        <w:rPr>
          <w:rFonts w:ascii="David" w:hAnsi="David"/>
          <w:b/>
          <w:bCs/>
          <w:noProof w:val="0"/>
          <w:rtl/>
          <w:lang w:eastAsia="he-IL"/>
        </w:rPr>
        <w:t xml:space="preserve">פ.ב. נ' א.ב. </w:t>
      </w:r>
      <w:r w:rsidRPr="00AE33D8">
        <w:rPr>
          <w:rFonts w:ascii="David" w:hAnsi="David"/>
          <w:noProof w:val="0"/>
          <w:rtl/>
          <w:lang w:eastAsia="he-IL"/>
        </w:rPr>
        <w:t xml:space="preserve">(20.12.2017), </w:t>
      </w:r>
      <w:r w:rsidRPr="00AE33D8">
        <w:rPr>
          <w:rFonts w:ascii="David" w:hAnsi="David"/>
          <w:noProof w:val="0"/>
          <w:rtl/>
        </w:rPr>
        <w:t>נדרש בית המשפט לבדוק את הפרמטרים הבאים:</w:t>
      </w:r>
    </w:p>
    <w:p w:rsidR="00AE33D8" w:rsidRPr="00AE33D8" w:rsidRDefault="00AE33D8" w:rsidP="00A04AFF">
      <w:pPr>
        <w:spacing w:after="120"/>
        <w:ind w:left="1069" w:right="1134"/>
        <w:contextualSpacing/>
        <w:jc w:val="both"/>
        <w:rPr>
          <w:rFonts w:ascii="David" w:hAnsi="David"/>
          <w:b/>
          <w:bCs/>
          <w:noProof w:val="0"/>
          <w:rtl/>
        </w:rPr>
      </w:pPr>
      <w:r w:rsidRPr="00AE33D8">
        <w:rPr>
          <w:rFonts w:ascii="David" w:hAnsi="David"/>
          <w:noProof w:val="0"/>
          <w:rtl/>
        </w:rPr>
        <w:t>"</w:t>
      </w:r>
      <w:r w:rsidRPr="00AE33D8">
        <w:rPr>
          <w:rFonts w:ascii="David" w:hAnsi="David"/>
          <w:b/>
          <w:bCs/>
          <w:noProof w:val="0"/>
          <w:rtl/>
        </w:rPr>
        <w:t>לפסוק את חיוב המזונות לילדים בגילאי 15-6 שנים, שעל קביעת מזונותיהם חולש הדין העברי, להכריע גם בנטל חלוקת החיוב בין ההורים על פי הכללים שנקבעו בבע"מ 919/15. לשם כך, על הערכאה הדיונית לקבוע ממצאים עובדתיים ביחס לפרמטרים הבאים:</w:t>
      </w:r>
    </w:p>
    <w:p w:rsidR="00AE33D8" w:rsidRPr="00AE33D8" w:rsidRDefault="00AE33D8" w:rsidP="00A04AFF">
      <w:pPr>
        <w:spacing w:after="160"/>
        <w:ind w:left="1133" w:right="1134"/>
        <w:jc w:val="both"/>
        <w:rPr>
          <w:rFonts w:ascii="David" w:hAnsi="David"/>
          <w:b/>
          <w:bCs/>
          <w:noProof w:val="0"/>
        </w:rPr>
      </w:pPr>
      <w:r w:rsidRPr="00AE33D8">
        <w:rPr>
          <w:rFonts w:ascii="David" w:hAnsi="David"/>
          <w:b/>
          <w:bCs/>
          <w:noProof w:val="0"/>
          <w:rtl/>
        </w:rPr>
        <w:t xml:space="preserve">א. </w:t>
      </w:r>
      <w:r w:rsidRPr="00AE33D8">
        <w:rPr>
          <w:rFonts w:ascii="David" w:hAnsi="David"/>
          <w:b/>
          <w:bCs/>
          <w:noProof w:val="0"/>
          <w:u w:val="single"/>
          <w:rtl/>
        </w:rPr>
        <w:t>צרכי הקטינים</w:t>
      </w:r>
      <w:r w:rsidRPr="00AE33D8">
        <w:rPr>
          <w:rFonts w:ascii="David" w:hAnsi="David"/>
          <w:b/>
          <w:bCs/>
          <w:noProof w:val="0"/>
          <w:rtl/>
        </w:rPr>
        <w:t xml:space="preserve"> – יש לקבוע את גובה הצרכים תלויי השהות ובכללם מדור והוצאות מדור; הצרכים שאינם תלויי שהות; צרכים חריגים/הוצאות חריגות – והכל "...עד כדי רמת החיים לה הורגל(ו) ערב הפירוד או שלה היה (ו) ראוי(ים) ללא הבחנה בין הכרחי ללא הכרחי". </w:t>
      </w:r>
    </w:p>
    <w:p w:rsidR="00AE33D8" w:rsidRPr="00AE33D8" w:rsidRDefault="00AE33D8" w:rsidP="00A04AFF">
      <w:pPr>
        <w:spacing w:after="160"/>
        <w:ind w:left="1133" w:right="1134"/>
        <w:jc w:val="both"/>
        <w:rPr>
          <w:rFonts w:ascii="David" w:hAnsi="David"/>
          <w:b/>
          <w:bCs/>
          <w:noProof w:val="0"/>
          <w:rtl/>
        </w:rPr>
      </w:pPr>
      <w:r w:rsidRPr="00AE33D8">
        <w:rPr>
          <w:rFonts w:ascii="David" w:hAnsi="David"/>
          <w:b/>
          <w:bCs/>
          <w:noProof w:val="0"/>
          <w:rtl/>
        </w:rPr>
        <w:t xml:space="preserve">ב. </w:t>
      </w:r>
      <w:r w:rsidRPr="00AE33D8">
        <w:rPr>
          <w:rFonts w:ascii="David" w:hAnsi="David"/>
          <w:b/>
          <w:bCs/>
          <w:noProof w:val="0"/>
          <w:u w:val="single"/>
          <w:rtl/>
        </w:rPr>
        <w:t>היכולות הכלכליות של ההורים</w:t>
      </w:r>
      <w:r w:rsidRPr="00AE33D8">
        <w:rPr>
          <w:rFonts w:ascii="David" w:hAnsi="David"/>
          <w:b/>
          <w:bCs/>
          <w:noProof w:val="0"/>
          <w:rtl/>
        </w:rPr>
        <w:t xml:space="preserve"> – בית המשפט העליון אינו נוקט בהיגד הכנסות ההורים אלא בהיגד רחב יותר. יש לקבוע את היכולות הכלכליות של כל אחד מההורים מכל המקורות העומדים לרשותם "לרבות" שכר עבודה. </w:t>
      </w:r>
    </w:p>
    <w:p w:rsidR="00AE33D8" w:rsidRPr="00AE33D8" w:rsidRDefault="00AE33D8" w:rsidP="00A04AFF">
      <w:pPr>
        <w:spacing w:after="160"/>
        <w:ind w:left="1133" w:right="1134"/>
        <w:jc w:val="both"/>
        <w:rPr>
          <w:rFonts w:ascii="David" w:hAnsi="David"/>
          <w:b/>
          <w:bCs/>
          <w:noProof w:val="0"/>
          <w:rtl/>
        </w:rPr>
      </w:pPr>
      <w:r w:rsidRPr="00AE33D8">
        <w:rPr>
          <w:rFonts w:ascii="David" w:hAnsi="David"/>
          <w:b/>
          <w:bCs/>
          <w:noProof w:val="0"/>
          <w:rtl/>
        </w:rPr>
        <w:t xml:space="preserve">ג. </w:t>
      </w:r>
      <w:r w:rsidRPr="00AE33D8">
        <w:rPr>
          <w:rFonts w:ascii="David" w:hAnsi="David"/>
          <w:b/>
          <w:bCs/>
          <w:noProof w:val="0"/>
          <w:u w:val="single"/>
          <w:rtl/>
        </w:rPr>
        <w:t>קביעת היחסיות של היכולת הכלכלית של ההורים, האחד מול רעהו</w:t>
      </w:r>
      <w:r w:rsidRPr="00AE33D8">
        <w:rPr>
          <w:rFonts w:ascii="David" w:hAnsi="David"/>
          <w:b/>
          <w:bCs/>
          <w:noProof w:val="0"/>
          <w:rtl/>
        </w:rPr>
        <w:t xml:space="preserve"> - נתון זה, כשלעצמו, ולעצמו, רלבנטי ביחס לצרכים שאינם תלויי שהות ולצרכים החריגים. </w:t>
      </w:r>
    </w:p>
    <w:p w:rsidR="00AE33D8" w:rsidRPr="00AE33D8" w:rsidRDefault="00AE33D8" w:rsidP="00A04AFF">
      <w:pPr>
        <w:spacing w:after="160"/>
        <w:ind w:left="1133" w:right="1134"/>
        <w:jc w:val="both"/>
        <w:rPr>
          <w:rFonts w:ascii="David" w:hAnsi="David"/>
          <w:noProof w:val="0"/>
          <w:rtl/>
        </w:rPr>
      </w:pPr>
      <w:r w:rsidRPr="00AE33D8">
        <w:rPr>
          <w:rFonts w:ascii="David" w:hAnsi="David"/>
          <w:b/>
          <w:bCs/>
          <w:noProof w:val="0"/>
          <w:rtl/>
        </w:rPr>
        <w:t xml:space="preserve">ד. </w:t>
      </w:r>
      <w:r w:rsidRPr="00AE33D8">
        <w:rPr>
          <w:rFonts w:ascii="David" w:hAnsi="David"/>
          <w:b/>
          <w:bCs/>
          <w:noProof w:val="0"/>
          <w:u w:val="single"/>
          <w:rtl/>
        </w:rPr>
        <w:t>חלוקת המשמורת בפועל</w:t>
      </w:r>
      <w:r w:rsidRPr="00AE33D8">
        <w:rPr>
          <w:rFonts w:ascii="David" w:hAnsi="David"/>
          <w:b/>
          <w:bCs/>
          <w:noProof w:val="0"/>
          <w:rtl/>
        </w:rPr>
        <w:t xml:space="preserve"> – נתון זה, המכוון לחלוקת זמני השהות, יילקח בחשבון לעת קביעת חלוקת הנטל בין שני ההורים ביחס לצרכים תלויי השהות, יחד עם הנתון של היכולות הכלכליות של ההורים</w:t>
      </w:r>
      <w:r w:rsidRPr="00AE33D8">
        <w:rPr>
          <w:rFonts w:ascii="David" w:hAnsi="David"/>
          <w:noProof w:val="0"/>
          <w:rtl/>
        </w:rPr>
        <w:t xml:space="preserve">".  </w:t>
      </w:r>
    </w:p>
    <w:p w:rsidR="00AE33D8" w:rsidRPr="00AE33D8" w:rsidRDefault="00AE33D8" w:rsidP="00AE33D8">
      <w:pPr>
        <w:spacing w:after="160"/>
        <w:ind w:left="1133" w:right="1560"/>
        <w:jc w:val="both"/>
        <w:rPr>
          <w:rFonts w:ascii="David" w:hAnsi="David"/>
          <w:noProof w:val="0"/>
          <w:rtl/>
          <w:lang w:eastAsia="he-IL"/>
        </w:rPr>
      </w:pPr>
    </w:p>
    <w:p w:rsidR="00AE33D8" w:rsidRPr="00AE33D8" w:rsidRDefault="00AE33D8" w:rsidP="00AE33D8">
      <w:pPr>
        <w:spacing w:after="160" w:line="360" w:lineRule="auto"/>
        <w:ind w:left="708"/>
        <w:jc w:val="both"/>
        <w:rPr>
          <w:rFonts w:ascii="David" w:hAnsi="David"/>
          <w:noProof w:val="0"/>
          <w:rtl/>
          <w:lang w:eastAsia="he-IL"/>
        </w:rPr>
      </w:pPr>
      <w:r w:rsidRPr="00AE33D8">
        <w:rPr>
          <w:rFonts w:ascii="David" w:hAnsi="David"/>
          <w:noProof w:val="0"/>
          <w:rtl/>
          <w:lang w:eastAsia="he-IL"/>
        </w:rPr>
        <w:t xml:space="preserve">בסעיף 9 לפסק הדין בעמ"ש 14612-10-16 הבהיר כב' השופט שאול שוחט: </w:t>
      </w:r>
    </w:p>
    <w:p w:rsidR="00AE33D8" w:rsidRPr="00AE33D8" w:rsidRDefault="00AE33D8" w:rsidP="00A04AFF">
      <w:pPr>
        <w:spacing w:after="160"/>
        <w:ind w:left="1133" w:right="1134"/>
        <w:jc w:val="both"/>
        <w:rPr>
          <w:rFonts w:ascii="David" w:hAnsi="David"/>
          <w:noProof w:val="0"/>
          <w:rtl/>
        </w:rPr>
      </w:pPr>
      <w:r w:rsidRPr="00AE33D8">
        <w:rPr>
          <w:rFonts w:ascii="David" w:hAnsi="David"/>
          <w:noProof w:val="0"/>
          <w:rtl/>
          <w:lang w:eastAsia="he-IL"/>
        </w:rPr>
        <w:t>"</w:t>
      </w:r>
      <w:r w:rsidRPr="00AE33D8">
        <w:rPr>
          <w:rFonts w:ascii="David" w:hAnsi="David"/>
          <w:b/>
          <w:bCs/>
          <w:noProof w:val="0"/>
          <w:rtl/>
        </w:rPr>
        <w:t>מודע אני לרתיעה הקיימת בקרב העוסקים במלאכה משימוש בנוסחאות מתמטיות. עם זאת, משנקבעו הפרמטרים של יחס היכולות הכלכליות אל מול יחסי זמני השהות לצורך קביעת חלוקת הנטל בהכרח תאמר שעניין לנו בנוסחה/חישוב מתמטי. הנוסחה המתמטית בה עסקו שלושת פסקי הדין הנ"ל אמורה לתת לערכאה הדיונית קנה מידה; אין בתוצאה המתקבלת ממנה ובהפעלתה במקרה פרטני משום כזה ראה וקדש. אומר על כך השופט פוגלמן בפסק הדין בבע"מ 919/15</w:t>
      </w:r>
      <w:r w:rsidRPr="00AE33D8">
        <w:rPr>
          <w:rFonts w:ascii="David" w:hAnsi="David"/>
          <w:noProof w:val="0"/>
          <w:rtl/>
        </w:rPr>
        <w:t xml:space="preserve">: </w:t>
      </w:r>
    </w:p>
    <w:p w:rsidR="00AE33D8" w:rsidRPr="00AE33D8" w:rsidRDefault="00AE33D8" w:rsidP="00A04AFF">
      <w:pPr>
        <w:spacing w:after="160"/>
        <w:ind w:left="1133" w:right="1134"/>
        <w:jc w:val="both"/>
        <w:rPr>
          <w:rFonts w:ascii="Calibri" w:hAnsi="Calibri" w:cs="Arial"/>
          <w:b/>
          <w:bCs/>
          <w:noProof w:val="0"/>
          <w:sz w:val="22"/>
          <w:szCs w:val="22"/>
        </w:rPr>
      </w:pPr>
      <w:r w:rsidRPr="00AE33D8">
        <w:rPr>
          <w:rFonts w:ascii="David" w:hAnsi="David"/>
          <w:b/>
          <w:bCs/>
          <w:noProof w:val="0"/>
          <w:rtl/>
        </w:rPr>
        <w:t xml:space="preserve">"וגם זאת יש לומר, אין מדובר בקביעת נוסחאות אריתמטיות נוקשות הקושרות בין התנהלות ההורים והיקף המשמורת המסורה לכל אחד מהם לבין שיעור המזונות. פסיקת המזונות לעולם לא תסמוך אך על "המספרים היבשים" – אם לעניין נתוני ההשתכרות של ההורים, אם לעניין יחס השהייה אצל כל אחד מהם. בטרם יפסוק באופן סופי את סכום המזונות על בית המשפט להוסיף ולהתבונן היטב על התא המשפחתי שלפניו ועל נסיבותיו הפרטניות ולהבטיח את חלוקת הנטל ההולמת ביותר תנאים אלה. הקביעה תהיה נטועה תמיד במכלול נסיבות </w:t>
      </w:r>
      <w:r w:rsidRPr="00AE33D8">
        <w:rPr>
          <w:rFonts w:ascii="David" w:hAnsi="David"/>
          <w:b/>
          <w:bCs/>
          <w:noProof w:val="0"/>
          <w:rtl/>
        </w:rPr>
        <w:lastRenderedPageBreak/>
        <w:t>העניין, וכששיקול העל המנחה אותה הוא טובת הילד ורווחתו בבתי שני ההורים" (פסקה 126 לפסק הדין)".</w:t>
      </w:r>
      <w:r w:rsidRPr="00AE33D8">
        <w:rPr>
          <w:rFonts w:ascii="Calibri" w:hAnsi="Calibri" w:cs="Arial"/>
          <w:b/>
          <w:bCs/>
          <w:noProof w:val="0"/>
          <w:sz w:val="22"/>
          <w:szCs w:val="22"/>
          <w:rtl/>
        </w:rPr>
        <w:t xml:space="preserve"> </w:t>
      </w:r>
    </w:p>
    <w:p w:rsidR="00AE33D8" w:rsidRPr="00AE33D8" w:rsidRDefault="00AE33D8" w:rsidP="00AE33D8">
      <w:pPr>
        <w:spacing w:after="120" w:line="360" w:lineRule="auto"/>
        <w:ind w:left="1440" w:hanging="732"/>
        <w:contextualSpacing/>
        <w:jc w:val="both"/>
        <w:rPr>
          <w:rFonts w:ascii="David" w:hAnsi="David"/>
          <w:b/>
          <w:bCs/>
          <w:noProof w:val="0"/>
          <w:rtl/>
          <w:lang w:eastAsia="he-IL"/>
        </w:rPr>
      </w:pPr>
    </w:p>
    <w:p w:rsidR="00AE33D8" w:rsidRPr="00AE33D8" w:rsidRDefault="00AE33D8" w:rsidP="00A04AFF">
      <w:pPr>
        <w:numPr>
          <w:ilvl w:val="0"/>
          <w:numId w:val="11"/>
        </w:numPr>
        <w:spacing w:after="120" w:line="360" w:lineRule="auto"/>
        <w:ind w:left="-1" w:firstLine="1"/>
        <w:contextualSpacing/>
        <w:jc w:val="both"/>
        <w:rPr>
          <w:rFonts w:ascii="David" w:hAnsi="David"/>
          <w:rtl/>
        </w:rPr>
      </w:pPr>
      <w:r w:rsidRPr="00AE33D8">
        <w:rPr>
          <w:rFonts w:ascii="David" w:hAnsi="David"/>
          <w:rtl/>
        </w:rPr>
        <w:t xml:space="preserve"> </w:t>
      </w:r>
      <w:r w:rsidRPr="00AE33D8">
        <w:rPr>
          <w:rFonts w:ascii="David" w:hAnsi="David"/>
          <w:noProof w:val="0"/>
          <w:rtl/>
        </w:rPr>
        <w:t xml:space="preserve">עוד נקבע, כי במסגרת שיקוליו, על בית המשפט לבחון את התא המשפחתי הספציפי הניצב לפניו, כדי להבטיח כי חלוקת הנטל תהא הולמת וראויה, בשים לב להכנסות הצדדים, חלוקת זמני השהות בפועל ומעל לכל - לטובת הקטינים. </w:t>
      </w:r>
      <w:r w:rsidRPr="00AE33D8">
        <w:rPr>
          <w:rFonts w:ascii="David" w:hAnsi="David"/>
          <w:rtl/>
        </w:rPr>
        <w:t xml:space="preserve">לצורך בחינת היקף החיוב במזונות, יש לבחון את היכולת הכלכלית של כל אחד מהצדדים; את קביעת היחס בין היכולות הכלכליות של הצדדים; את הערכת צרכי הקטינים לפי רמת החיים שלה הורגלו ערב הפירוד; חלוקת זמני השהות בפועל של הקטינים עם כל אחד מההורים; יעשה איזון כולל של הכנסת המשפחה </w:t>
      </w:r>
      <w:r w:rsidRPr="00AE33D8">
        <w:rPr>
          <w:rFonts w:ascii="David" w:hAnsi="David"/>
          <w:b/>
          <w:bCs/>
          <w:rtl/>
        </w:rPr>
        <w:t>מכלל המקורות השונים</w:t>
      </w:r>
      <w:r w:rsidRPr="00AE33D8">
        <w:rPr>
          <w:rFonts w:ascii="David" w:hAnsi="David"/>
          <w:rtl/>
        </w:rPr>
        <w:t xml:space="preserve">; כאשר לעניין כושר ההשתכרות, יתחשב בית המשפט הן בגובה ההכנסה בפועל, הן בפוטנציאל ההשתכרות העתידי והן </w:t>
      </w:r>
      <w:r w:rsidRPr="00AE33D8">
        <w:rPr>
          <w:rFonts w:ascii="David" w:hAnsi="David"/>
          <w:b/>
          <w:bCs/>
          <w:rtl/>
        </w:rPr>
        <w:t>ברכוש הצדדים;</w:t>
      </w:r>
      <w:r w:rsidRPr="00AE33D8">
        <w:rPr>
          <w:rFonts w:ascii="David" w:hAnsi="David"/>
          <w:b/>
          <w:bCs/>
        </w:rPr>
        <w:t xml:space="preserve"> </w:t>
      </w:r>
      <w:r w:rsidRPr="00AE33D8">
        <w:rPr>
          <w:rFonts w:ascii="David" w:hAnsi="David"/>
          <w:rtl/>
        </w:rPr>
        <w:t>ובכלל, על פי הקריטריונים שנקבעו בפסק הדין בעניין בע"מ 919/15.</w:t>
      </w:r>
    </w:p>
    <w:p w:rsidR="00AE33D8" w:rsidRPr="00AE33D8" w:rsidRDefault="00AE33D8" w:rsidP="00A04AFF">
      <w:pPr>
        <w:spacing w:after="120" w:line="360" w:lineRule="auto"/>
        <w:ind w:left="-1" w:firstLine="1"/>
        <w:contextualSpacing/>
        <w:jc w:val="both"/>
        <w:rPr>
          <w:rFonts w:ascii="David" w:hAnsi="David"/>
        </w:rPr>
      </w:pPr>
    </w:p>
    <w:p w:rsidR="00AE33D8" w:rsidRPr="00AE33D8" w:rsidRDefault="00AE33D8" w:rsidP="00A04AFF">
      <w:pPr>
        <w:numPr>
          <w:ilvl w:val="0"/>
          <w:numId w:val="11"/>
        </w:numPr>
        <w:spacing w:after="120" w:line="360" w:lineRule="auto"/>
        <w:ind w:left="-1" w:firstLine="1"/>
        <w:contextualSpacing/>
        <w:jc w:val="both"/>
        <w:rPr>
          <w:rFonts w:ascii="David" w:hAnsi="David"/>
        </w:rPr>
      </w:pPr>
      <w:r w:rsidRPr="00AE33D8">
        <w:rPr>
          <w:rFonts w:ascii="David" w:hAnsi="David"/>
          <w:noProof w:val="0"/>
          <w:rtl/>
        </w:rPr>
        <w:t xml:space="preserve">תביעת מזונות היא תביעה כספית שיש להוכיח ככל תביעה אחרת. </w:t>
      </w:r>
      <w:r w:rsidRPr="00AE33D8">
        <w:rPr>
          <w:rFonts w:ascii="David" w:hAnsi="David"/>
          <w:rtl/>
        </w:rPr>
        <w:t xml:space="preserve">משכך אעבור לדיון בפרמטרים הנדרשים לשם פסיקת מזונות הקטינים על פי האמור לעיל. </w:t>
      </w:r>
    </w:p>
    <w:p w:rsidR="00AE33D8" w:rsidRPr="00AE33D8" w:rsidRDefault="00AE33D8" w:rsidP="00A04AFF">
      <w:pPr>
        <w:spacing w:after="120" w:line="360" w:lineRule="auto"/>
        <w:ind w:left="-1" w:firstLine="1"/>
        <w:contextualSpacing/>
        <w:jc w:val="both"/>
        <w:rPr>
          <w:rFonts w:ascii="David" w:hAnsi="David"/>
        </w:rPr>
      </w:pPr>
    </w:p>
    <w:p w:rsidR="00AE33D8" w:rsidRPr="00AE33D8" w:rsidRDefault="00AE33D8" w:rsidP="00A04AFF">
      <w:pPr>
        <w:numPr>
          <w:ilvl w:val="0"/>
          <w:numId w:val="11"/>
        </w:numPr>
        <w:spacing w:after="240" w:line="360" w:lineRule="auto"/>
        <w:ind w:left="0" w:firstLine="1"/>
        <w:contextualSpacing/>
        <w:jc w:val="both"/>
        <w:rPr>
          <w:rFonts w:ascii="Arial" w:hAnsi="Arial"/>
          <w:noProof w:val="0"/>
          <w:rtl/>
        </w:rPr>
      </w:pPr>
      <w:r w:rsidRPr="00AE33D8">
        <w:rPr>
          <w:rFonts w:ascii="Arial" w:hAnsi="Arial"/>
          <w:noProof w:val="0"/>
          <w:rtl/>
        </w:rPr>
        <w:t xml:space="preserve">כאמור, </w:t>
      </w:r>
      <w:r w:rsidRPr="00AE33D8">
        <w:rPr>
          <w:rFonts w:ascii="Arial" w:hAnsi="Arial"/>
          <w:b/>
          <w:bCs/>
          <w:noProof w:val="0"/>
          <w:rtl/>
        </w:rPr>
        <w:t>צרכיו של קטין</w:t>
      </w:r>
      <w:r w:rsidRPr="00AE33D8">
        <w:rPr>
          <w:rFonts w:ascii="Arial" w:hAnsi="Arial"/>
          <w:noProof w:val="0"/>
          <w:rtl/>
        </w:rPr>
        <w:t xml:space="preserve"> המתגורר בבית אחד נמוכים מצרכיו של קטין המחלק שהייתו בשני בתים. שכן מטיבם של דברים, חלק מצרכיו נרכש באופן כפול על ידי כל אחד מההורים בשל השימוש בצרכים אלו בכל אחד מהבתים. מתוך שכך, הוערכו צרכיו של קטין המתגורר בשני בתים בסך </w:t>
      </w:r>
      <w:r w:rsidRPr="00AE33D8">
        <w:rPr>
          <w:rFonts w:ascii="Arial" w:hAnsi="Arial"/>
          <w:b/>
          <w:bCs/>
          <w:noProof w:val="0"/>
          <w:rtl/>
        </w:rPr>
        <w:t>מינימלי של 2,250 ₪</w:t>
      </w:r>
      <w:r w:rsidRPr="00AE33D8">
        <w:rPr>
          <w:rFonts w:ascii="Arial" w:hAnsi="Arial"/>
          <w:noProof w:val="0"/>
          <w:rtl/>
        </w:rPr>
        <w:t xml:space="preserve"> -</w:t>
      </w:r>
      <w:r w:rsidRPr="00AE33D8">
        <w:rPr>
          <w:rFonts w:ascii="Arial" w:hAnsi="Arial"/>
          <w:b/>
          <w:bCs/>
          <w:noProof w:val="0"/>
          <w:rtl/>
        </w:rPr>
        <w:t xml:space="preserve">2,500 ₪ </w:t>
      </w:r>
      <w:r w:rsidRPr="00AE33D8">
        <w:rPr>
          <w:rFonts w:ascii="Arial" w:hAnsi="Arial"/>
          <w:noProof w:val="0"/>
          <w:rtl/>
        </w:rPr>
        <w:t>(רמ"ש (תל אביב) 51912-03-21 א.נ נ' ס.כ.נ (27.4.2021);</w:t>
      </w:r>
      <w:r w:rsidRPr="00AE33D8">
        <w:rPr>
          <w:rFonts w:ascii="Arial" w:hAnsi="Arial"/>
          <w:noProof w:val="0"/>
        </w:rPr>
        <w:t xml:space="preserve"> </w:t>
      </w:r>
      <w:r w:rsidRPr="00AE33D8">
        <w:rPr>
          <w:rFonts w:ascii="Arial" w:hAnsi="Arial"/>
          <w:noProof w:val="0"/>
          <w:rtl/>
        </w:rPr>
        <w:t xml:space="preserve">עמ"ש מחוזי (מרכז) 65692-11-19  </w:t>
      </w:r>
      <w:r w:rsidRPr="00AE33D8">
        <w:rPr>
          <w:rFonts w:ascii="Arial" w:hAnsi="Arial"/>
          <w:b/>
          <w:bCs/>
          <w:noProof w:val="0"/>
          <w:rtl/>
        </w:rPr>
        <w:t xml:space="preserve">ד. ס נ' ל. צ. ס </w:t>
      </w:r>
      <w:r w:rsidRPr="00AE33D8">
        <w:rPr>
          <w:rFonts w:ascii="Arial" w:hAnsi="Arial"/>
          <w:noProof w:val="0"/>
          <w:rtl/>
        </w:rPr>
        <w:t xml:space="preserve">(22.9.2020) ועמ"ש (מרכז) 59188-10-18 </w:t>
      </w:r>
      <w:r w:rsidRPr="00AE33D8">
        <w:rPr>
          <w:rFonts w:ascii="Arial" w:hAnsi="Arial"/>
          <w:b/>
          <w:bCs/>
          <w:noProof w:val="0"/>
          <w:rtl/>
        </w:rPr>
        <w:t>נ. נ' נ.</w:t>
      </w:r>
      <w:r w:rsidRPr="00AE33D8">
        <w:rPr>
          <w:rFonts w:ascii="Arial" w:hAnsi="Arial"/>
          <w:noProof w:val="0"/>
          <w:rtl/>
        </w:rPr>
        <w:t xml:space="preserve"> (25.10.2018)).</w:t>
      </w:r>
    </w:p>
    <w:p w:rsidR="00AE33D8" w:rsidRPr="00AE33D8" w:rsidRDefault="00AE33D8" w:rsidP="00A04AFF">
      <w:pPr>
        <w:spacing w:after="240" w:line="360" w:lineRule="auto"/>
        <w:ind w:firstLine="1"/>
        <w:contextualSpacing/>
        <w:jc w:val="both"/>
        <w:rPr>
          <w:rFonts w:ascii="Arial" w:hAnsi="Arial"/>
          <w:noProof w:val="0"/>
        </w:rPr>
      </w:pPr>
    </w:p>
    <w:p w:rsidR="00AE33D8" w:rsidRPr="00AE33D8" w:rsidRDefault="00AE33D8" w:rsidP="00A04AFF">
      <w:pPr>
        <w:numPr>
          <w:ilvl w:val="0"/>
          <w:numId w:val="11"/>
        </w:numPr>
        <w:spacing w:after="240" w:line="360" w:lineRule="auto"/>
        <w:ind w:left="0" w:firstLine="1"/>
        <w:contextualSpacing/>
        <w:jc w:val="both"/>
        <w:rPr>
          <w:rFonts w:ascii="David" w:hAnsi="David"/>
          <w:noProof w:val="0"/>
          <w:rtl/>
        </w:rPr>
      </w:pPr>
      <w:r w:rsidRPr="00AE33D8">
        <w:rPr>
          <w:rFonts w:ascii="Arial" w:hAnsi="Arial"/>
          <w:noProof w:val="0"/>
          <w:rtl/>
        </w:rPr>
        <w:t>בטרם יפסוק באופן סופי את סכום המזונות יידרש בית המשפט להוסיף ולהתבונן היטב על התא המשפחתי שלפניו ועל נסיבותיו הפרטניות, ולהבטיח את חלוקת הנטל ההולמת ביותר בתנאים אלה. הקביעה תהיה נטועה תמיד במכלול נסיבות העניין, כששיקול העל המנחה הוא טובת הילד ורווחתו בבית שני ההורים</w:t>
      </w:r>
      <w:r w:rsidRPr="00AE33D8">
        <w:rPr>
          <w:rFonts w:ascii="David" w:hAnsi="David"/>
          <w:noProof w:val="0"/>
          <w:rtl/>
        </w:rPr>
        <w:t>.</w:t>
      </w:r>
    </w:p>
    <w:p w:rsidR="00AE33D8" w:rsidRPr="00AE33D8" w:rsidRDefault="00AE33D8" w:rsidP="00A04AFF">
      <w:pPr>
        <w:spacing w:after="240" w:line="360" w:lineRule="auto"/>
        <w:ind w:firstLine="1"/>
        <w:contextualSpacing/>
        <w:jc w:val="both"/>
        <w:rPr>
          <w:rFonts w:ascii="David" w:hAnsi="David"/>
          <w:noProof w:val="0"/>
        </w:rPr>
      </w:pPr>
    </w:p>
    <w:p w:rsidR="00AE33D8" w:rsidRPr="00AE33D8" w:rsidRDefault="00AE33D8" w:rsidP="00A04AFF">
      <w:pPr>
        <w:numPr>
          <w:ilvl w:val="0"/>
          <w:numId w:val="11"/>
        </w:numPr>
        <w:spacing w:after="240" w:line="360" w:lineRule="auto"/>
        <w:ind w:left="0" w:firstLine="1"/>
        <w:contextualSpacing/>
        <w:jc w:val="both"/>
        <w:rPr>
          <w:rFonts w:ascii="Arial" w:hAnsi="Arial"/>
          <w:b/>
          <w:bCs/>
          <w:noProof w:val="0"/>
        </w:rPr>
      </w:pPr>
      <w:r w:rsidRPr="00AE33D8">
        <w:rPr>
          <w:rFonts w:ascii="Arial" w:hAnsi="Arial"/>
          <w:b/>
          <w:bCs/>
          <w:noProof w:val="0"/>
          <w:rtl/>
        </w:rPr>
        <w:t xml:space="preserve">כאמור, לפניי שלושה קטינים - שניים מהם מעל גיל 6 ואחת מתחת לגיל 6, כאשר זמני השהות מתחלקים ביחס של 57% מהזמן עם התובעת ו-43% מהזמן עם הנתבע. </w:t>
      </w:r>
    </w:p>
    <w:p w:rsidR="00AE33D8" w:rsidRPr="00AE33D8" w:rsidRDefault="00AE33D8" w:rsidP="00A04AFF">
      <w:pPr>
        <w:spacing w:after="240" w:line="360" w:lineRule="auto"/>
        <w:ind w:firstLine="1"/>
        <w:contextualSpacing/>
        <w:jc w:val="both"/>
        <w:rPr>
          <w:rFonts w:ascii="Arial" w:hAnsi="Arial"/>
          <w:b/>
          <w:bCs/>
          <w:noProof w:val="0"/>
        </w:rPr>
      </w:pPr>
      <w:r w:rsidRPr="00AE33D8">
        <w:rPr>
          <w:rFonts w:ascii="Arial" w:hAnsi="Arial"/>
          <w:b/>
          <w:bCs/>
          <w:noProof w:val="0"/>
          <w:rtl/>
        </w:rPr>
        <w:t xml:space="preserve"> </w:t>
      </w:r>
    </w:p>
    <w:p w:rsidR="00AE33D8" w:rsidRPr="00AE33D8" w:rsidRDefault="00AE33D8" w:rsidP="00E400B2">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 xml:space="preserve">בשים לב, הקטינה </w:t>
      </w:r>
      <w:r w:rsidR="00E400B2">
        <w:rPr>
          <w:rFonts w:ascii="Arial" w:hAnsi="Arial" w:hint="cs"/>
          <w:noProof w:val="0"/>
          <w:rtl/>
        </w:rPr>
        <w:t>א.</w:t>
      </w:r>
      <w:r w:rsidRPr="00AE33D8">
        <w:rPr>
          <w:rFonts w:ascii="Arial" w:hAnsi="Arial"/>
          <w:noProof w:val="0"/>
          <w:rtl/>
        </w:rPr>
        <w:t xml:space="preserve"> בת פחות משש שנים, ועל פי הדין חב הנתבע בצרכיה ההכרחיים בלבד, ומעבר לכך מדין צדקה. בית המשפט העליון שב </w:t>
      </w:r>
      <w:r w:rsidRPr="00AE33D8">
        <w:rPr>
          <w:rFonts w:ascii="Arial" w:hAnsi="Arial"/>
          <w:noProof w:val="0"/>
          <w:color w:val="000000"/>
          <w:rtl/>
        </w:rPr>
        <w:t xml:space="preserve">והבהיר כי </w:t>
      </w:r>
      <w:hyperlink r:id="rId9" w:tgtFrame="blank" w:history="1">
        <w:r w:rsidRPr="00AE33D8">
          <w:rPr>
            <w:rFonts w:ascii="Arial" w:hAnsi="Arial"/>
            <w:noProof w:val="0"/>
            <w:color w:val="000000"/>
            <w:u w:val="single"/>
            <w:rtl/>
          </w:rPr>
          <w:t>בע"מ 919/15</w:t>
        </w:r>
      </w:hyperlink>
      <w:r w:rsidRPr="00AE33D8">
        <w:rPr>
          <w:rFonts w:ascii="Arial" w:hAnsi="Arial"/>
          <w:noProof w:val="0"/>
          <w:color w:val="000000"/>
          <w:rtl/>
        </w:rPr>
        <w:t xml:space="preserve"> אינו מתייחס</w:t>
      </w:r>
      <w:r w:rsidRPr="00AE33D8">
        <w:rPr>
          <w:rFonts w:ascii="Arial" w:hAnsi="Arial"/>
          <w:noProof w:val="0"/>
          <w:rtl/>
        </w:rPr>
        <w:t xml:space="preserve"> לסוגיית חלוקת נטל המזונות ביחס לילדים מתחת לגיל 6 (</w:t>
      </w:r>
      <w:hyperlink r:id="rId10" w:tgtFrame="blank" w:history="1">
        <w:r w:rsidRPr="00AE33D8">
          <w:rPr>
            <w:color w:val="000000"/>
            <w:u w:val="single"/>
            <w:rtl/>
          </w:rPr>
          <w:t>בע"מ 4637/18</w:t>
        </w:r>
      </w:hyperlink>
      <w:r w:rsidRPr="00AE33D8">
        <w:rPr>
          <w:rFonts w:ascii="Arial" w:hAnsi="Arial"/>
          <w:noProof w:val="0"/>
          <w:color w:val="000000"/>
          <w:rtl/>
        </w:rPr>
        <w:t xml:space="preserve"> </w:t>
      </w:r>
      <w:r w:rsidRPr="00AE33D8">
        <w:rPr>
          <w:rFonts w:ascii="Arial" w:hAnsi="Arial" w:hint="cs"/>
          <w:b/>
          <w:bCs/>
          <w:noProof w:val="0"/>
          <w:color w:val="000000"/>
          <w:rtl/>
        </w:rPr>
        <w:t>פלוני נ' פלונית</w:t>
      </w:r>
      <w:r w:rsidRPr="00AE33D8">
        <w:rPr>
          <w:rFonts w:ascii="Arial" w:hAnsi="Arial"/>
          <w:noProof w:val="0"/>
          <w:rtl/>
        </w:rPr>
        <w:t xml:space="preserve"> (10.7.2018)), ואף לא נמצא מקום ליתן רשות ערעור "בגלגול שלישי" בעניין זה. </w:t>
      </w:r>
    </w:p>
    <w:p w:rsidR="00AE33D8" w:rsidRPr="00AE33D8" w:rsidRDefault="00AE33D8" w:rsidP="00AE33D8">
      <w:pPr>
        <w:spacing w:after="120" w:line="276" w:lineRule="auto"/>
        <w:ind w:left="720"/>
        <w:contextualSpacing/>
        <w:rPr>
          <w:rFonts w:ascii="Arial" w:hAnsi="Arial"/>
          <w:noProof w:val="0"/>
        </w:rPr>
      </w:pPr>
    </w:p>
    <w:p w:rsidR="00775922" w:rsidRDefault="00775922" w:rsidP="00AE33D8">
      <w:pPr>
        <w:spacing w:after="240" w:line="360" w:lineRule="auto"/>
        <w:jc w:val="both"/>
        <w:rPr>
          <w:rFonts w:ascii="Arial" w:hAnsi="Arial"/>
          <w:b/>
          <w:bCs/>
          <w:noProof w:val="0"/>
          <w:sz w:val="28"/>
          <w:szCs w:val="28"/>
          <w:u w:val="single"/>
          <w:rtl/>
        </w:rPr>
      </w:pPr>
    </w:p>
    <w:p w:rsidR="00AE33D8" w:rsidRPr="00AE33D8" w:rsidRDefault="00AE33D8" w:rsidP="00AE33D8">
      <w:pPr>
        <w:spacing w:after="240" w:line="360" w:lineRule="auto"/>
        <w:jc w:val="both"/>
        <w:rPr>
          <w:rFonts w:ascii="Arial" w:hAnsi="Arial"/>
          <w:b/>
          <w:bCs/>
          <w:noProof w:val="0"/>
          <w:sz w:val="28"/>
          <w:szCs w:val="28"/>
          <w:u w:val="single"/>
          <w:rtl/>
        </w:rPr>
      </w:pPr>
      <w:r w:rsidRPr="00AE33D8">
        <w:rPr>
          <w:rFonts w:ascii="Arial" w:hAnsi="Arial"/>
          <w:b/>
          <w:bCs/>
          <w:noProof w:val="0"/>
          <w:sz w:val="28"/>
          <w:szCs w:val="28"/>
          <w:u w:val="single"/>
          <w:rtl/>
        </w:rPr>
        <w:lastRenderedPageBreak/>
        <w:t xml:space="preserve">יכולת השתכרותה של התובעת </w:t>
      </w:r>
    </w:p>
    <w:p w:rsidR="00AE33D8" w:rsidRDefault="00AE33D8" w:rsidP="00A04AFF">
      <w:pPr>
        <w:numPr>
          <w:ilvl w:val="0"/>
          <w:numId w:val="11"/>
        </w:numPr>
        <w:spacing w:after="240" w:line="360" w:lineRule="auto"/>
        <w:ind w:left="0" w:firstLine="0"/>
        <w:contextualSpacing/>
        <w:jc w:val="both"/>
        <w:rPr>
          <w:rFonts w:ascii="David" w:hAnsi="David"/>
          <w:b/>
          <w:bCs/>
          <w:noProof w:val="0"/>
        </w:rPr>
      </w:pPr>
      <w:r w:rsidRPr="00AE33D8">
        <w:rPr>
          <w:rFonts w:ascii="Arial" w:hAnsi="Arial"/>
          <w:noProof w:val="0"/>
          <w:rtl/>
        </w:rPr>
        <w:t xml:space="preserve">התובעת עובדת כאשת מכירות בעסק שבבעלות אביה. מעיון בתלושי השכר עולה, כי משכורתה עומדת על סך ממוצע של כ- 8,870 ₪ נטו לחודש. פרט לכך, התובעת מקבלת רכב ממקום עבודתה, והחזר עבור כל ההוצאות הנדרשות בסך נוסף של 2,700 ₪ פלוס מע"מ. בחוות הדעת נקבע כי הכנסת התובעת עומדת על סך של 11,809 נטו ₪. התובעת לא חלקה על הערכה זו. </w:t>
      </w:r>
      <w:r w:rsidRPr="00AE33D8">
        <w:rPr>
          <w:rFonts w:ascii="David" w:hAnsi="David"/>
          <w:noProof w:val="0"/>
          <w:rtl/>
        </w:rPr>
        <w:t xml:space="preserve">עם זאת, התובעת מקבלת ממקום עבודתה בנוסף להטבות נלוות של רכב, הוצאות רכב והפקדות לקופות שונות (מגדל, אלטשולר). </w:t>
      </w:r>
    </w:p>
    <w:p w:rsidR="00775922" w:rsidRPr="00AE33D8" w:rsidRDefault="00775922" w:rsidP="00775922">
      <w:pPr>
        <w:spacing w:after="240" w:line="360" w:lineRule="auto"/>
        <w:contextualSpacing/>
        <w:jc w:val="both"/>
        <w:rPr>
          <w:rFonts w:ascii="David" w:hAnsi="David"/>
          <w:b/>
          <w:bCs/>
          <w:noProof w:val="0"/>
        </w:rPr>
      </w:pPr>
    </w:p>
    <w:p w:rsidR="00AE33D8" w:rsidRPr="00AE33D8" w:rsidRDefault="00AE33D8" w:rsidP="00A04AFF">
      <w:pPr>
        <w:numPr>
          <w:ilvl w:val="0"/>
          <w:numId w:val="11"/>
        </w:numPr>
        <w:spacing w:after="240" w:line="360" w:lineRule="auto"/>
        <w:ind w:left="0" w:firstLine="0"/>
        <w:contextualSpacing/>
        <w:jc w:val="both"/>
        <w:rPr>
          <w:rFonts w:ascii="David" w:hAnsi="David"/>
          <w:b/>
          <w:bCs/>
          <w:noProof w:val="0"/>
          <w:color w:val="FF0000"/>
          <w:rtl/>
        </w:rPr>
      </w:pPr>
      <w:r w:rsidRPr="00AE33D8">
        <w:rPr>
          <w:rFonts w:ascii="David" w:hAnsi="David"/>
          <w:noProof w:val="0"/>
          <w:rtl/>
        </w:rPr>
        <w:t>התובעת אישרה בעדותה כי היא מחזיקה "בין 60,000 ל-100,000 שקל יתרת זכות", בנוסף ל-"עוד 1,500 או 2,000 דולר". כמו כן, התובעת העידה כי מקורם של אותם כספי הדולרים הוא מפירות השקעתה במניה שערכה עלה (עמ' 48, שו' 27-18 לפרוטוקול).</w:t>
      </w:r>
      <w:r w:rsidRPr="00AE33D8">
        <w:rPr>
          <w:rFonts w:ascii="David" w:hAnsi="David"/>
          <w:b/>
          <w:bCs/>
          <w:noProof w:val="0"/>
          <w:rtl/>
        </w:rPr>
        <w:t xml:space="preserve"> </w:t>
      </w:r>
    </w:p>
    <w:p w:rsidR="00AE33D8" w:rsidRPr="00AE33D8" w:rsidRDefault="00AE33D8" w:rsidP="00AE33D8">
      <w:pPr>
        <w:spacing w:after="120" w:line="276" w:lineRule="auto"/>
        <w:ind w:left="720"/>
        <w:contextualSpacing/>
        <w:rPr>
          <w:rFonts w:ascii="David" w:hAnsi="David"/>
          <w:b/>
          <w:bCs/>
          <w:noProof w:val="0"/>
        </w:rPr>
      </w:pPr>
      <w:r w:rsidRPr="00AE33D8">
        <mc:AlternateContent>
          <mc:Choice Requires="wps">
            <w:drawing>
              <wp:anchor distT="0" distB="0" distL="114300" distR="114300" simplePos="0" relativeHeight="251666432" behindDoc="1" locked="0" layoutInCell="1" allowOverlap="1" wp14:anchorId="0FD099FC" wp14:editId="32431ED2">
                <wp:simplePos x="0" y="0"/>
                <wp:positionH relativeFrom="column">
                  <wp:posOffset>-94901</wp:posOffset>
                </wp:positionH>
                <wp:positionV relativeFrom="paragraph">
                  <wp:posOffset>125703</wp:posOffset>
                </wp:positionV>
                <wp:extent cx="5640651" cy="476250"/>
                <wp:effectExtent l="57150" t="38100" r="74930" b="95250"/>
                <wp:wrapNone/>
                <wp:docPr id="43" name="מלבן 12"/>
                <wp:cNvGraphicFramePr/>
                <a:graphic xmlns:a="http://schemas.openxmlformats.org/drawingml/2006/main">
                  <a:graphicData uri="http://schemas.microsoft.com/office/word/2010/wordprocessingShape">
                    <wps:wsp>
                      <wps:cNvSpPr/>
                      <wps:spPr>
                        <a:xfrm>
                          <a:off x="0" y="0"/>
                          <a:ext cx="5640651" cy="47625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B477CC5" id="מלבן 12" o:spid="_x0000_s1026" style="position:absolute;left:0;text-align:left;margin-left:-7.45pt;margin-top:9.9pt;width:444.15pt;height: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" fillcolor="#bcbcbc">
                <v:fill color2="#ededed" rotate="t" angle="180" colors="0 #bcbcbc;22938f #d0d0d0;1 #ededed" focus="100%" type="gradient"/>
                <v:shadow on="t" color="black" opacity="24903f" origin=",.5" offset="0,.55556mm"/>
              </v:rect>
            </w:pict>
          </mc:Fallback>
        </mc:AlternateContent>
      </w:r>
    </w:p>
    <w:p w:rsidR="00AE33D8" w:rsidRPr="00AE33D8" w:rsidRDefault="00AE33D8" w:rsidP="00A04AFF">
      <w:pPr>
        <w:numPr>
          <w:ilvl w:val="0"/>
          <w:numId w:val="11"/>
        </w:numPr>
        <w:spacing w:after="240" w:line="360" w:lineRule="auto"/>
        <w:ind w:left="0" w:firstLine="0"/>
        <w:contextualSpacing/>
        <w:jc w:val="both"/>
        <w:rPr>
          <w:rFonts w:ascii="David" w:hAnsi="David"/>
          <w:b/>
          <w:bCs/>
          <w:noProof w:val="0"/>
          <w:rtl/>
        </w:rPr>
      </w:pPr>
      <w:r w:rsidRPr="00AE33D8">
        <w:rPr>
          <w:rFonts w:ascii="David" w:hAnsi="David"/>
          <w:b/>
          <w:bCs/>
          <w:noProof w:val="0"/>
          <w:rtl/>
        </w:rPr>
        <w:t>לנוכח האמור, אני מעמידה את גובה ההכנסה החודשית של התובעת על סך מוערך של כ- 15,000 ₪ נטו לחודש.</w:t>
      </w:r>
    </w:p>
    <w:p w:rsidR="00A04AFF" w:rsidRDefault="00A04AFF" w:rsidP="00A04AFF">
      <w:pPr>
        <w:spacing w:after="240"/>
        <w:jc w:val="both"/>
        <w:rPr>
          <w:rFonts w:ascii="Arial" w:hAnsi="Arial"/>
          <w:b/>
          <w:bCs/>
          <w:noProof w:val="0"/>
          <w:sz w:val="28"/>
          <w:szCs w:val="28"/>
          <w:u w:val="single"/>
          <w:rtl/>
        </w:rPr>
      </w:pPr>
    </w:p>
    <w:p w:rsidR="00AE33D8" w:rsidRPr="00AE33D8" w:rsidRDefault="00AE33D8" w:rsidP="00AE33D8">
      <w:pPr>
        <w:spacing w:after="240" w:line="360" w:lineRule="auto"/>
        <w:jc w:val="both"/>
        <w:rPr>
          <w:rFonts w:ascii="Arial" w:hAnsi="Arial"/>
          <w:b/>
          <w:bCs/>
          <w:noProof w:val="0"/>
          <w:sz w:val="28"/>
          <w:szCs w:val="28"/>
          <w:u w:val="single"/>
          <w:rtl/>
        </w:rPr>
      </w:pPr>
      <w:r w:rsidRPr="00AE33D8">
        <w:rPr>
          <w:rFonts w:ascii="Arial" w:hAnsi="Arial"/>
          <w:b/>
          <w:bCs/>
          <w:noProof w:val="0"/>
          <w:sz w:val="28"/>
          <w:szCs w:val="28"/>
          <w:u w:val="single"/>
          <w:rtl/>
        </w:rPr>
        <w:t>יכולת השתכרותו של הנתבע</w:t>
      </w:r>
    </w:p>
    <w:p w:rsidR="00AE33D8" w:rsidRPr="00AE33D8" w:rsidRDefault="00AE33D8" w:rsidP="00A04AFF">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 xml:space="preserve">על אמידותו של הנתבע, ניתן ללמוד הן מהיקף הכנסותיו השוטפות והן מהיקף רכושו, כעולה מחוות הדעת, מהראיות שהוצגו ומעדותו. לנוכח ריבוי הנכסים, המורכבות שבהם, ומערכת השליטה שבחברות הנשלטות על ידי הנתבע, יש להתחקות אחר הכנסתו צעד אחר צעד. וכך במלאכת מחשבת יש לכנס את כלל הכנסותיו לסך אחד כולל. </w:t>
      </w:r>
    </w:p>
    <w:p w:rsidR="00AE33D8" w:rsidRPr="00AE33D8" w:rsidRDefault="00AE33D8" w:rsidP="00434AE3">
      <w:pPr>
        <w:spacing w:after="240"/>
        <w:contextualSpacing/>
        <w:jc w:val="both"/>
        <w:rPr>
          <w:rFonts w:ascii="Arial" w:hAnsi="Arial"/>
          <w:noProof w:val="0"/>
        </w:rPr>
      </w:pPr>
    </w:p>
    <w:p w:rsidR="00AE33D8" w:rsidRPr="00AE33D8" w:rsidRDefault="00AE33D8" w:rsidP="00A04AFF">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בסעיף 64 להחלטה נקבע כדלקמן:</w:t>
      </w:r>
    </w:p>
    <w:p w:rsidR="00AE33D8" w:rsidRPr="00AE33D8" w:rsidRDefault="00AE33D8" w:rsidP="00AE33D8">
      <w:pPr>
        <w:spacing w:after="240" w:line="360" w:lineRule="auto"/>
        <w:contextualSpacing/>
        <w:jc w:val="both"/>
        <w:rPr>
          <w:rFonts w:ascii="Arial" w:hAnsi="Arial"/>
          <w:noProof w:val="0"/>
        </w:rPr>
      </w:pPr>
      <w:r w:rsidRPr="00AE33D8">
        <w:rPr>
          <w:rFonts w:ascii="Arial" w:hAnsi="Arial"/>
        </w:rPr>
        <w:drawing>
          <wp:inline distT="0" distB="0" distL="0" distR="0" wp14:anchorId="3FC03351" wp14:editId="06955C4E">
            <wp:extent cx="5402580" cy="959485"/>
            <wp:effectExtent l="0" t="0" r="7620" b="0"/>
            <wp:docPr id="37"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0"/>
                    <pic:cNvPicPr>
                      <a:picLocks noChangeAspect="1" noChangeArrowheads="1"/>
                    </pic:cNvPicPr>
                  </pic:nvPicPr>
                  <pic:blipFill>
                    <a:blip r:embed="rId11">
                      <a:extLst>
                        <a:ext uri="{28A0092B-C50C-407E-A947-70E740481C1C}">
                          <a14:useLocalDpi xmlns:a14="http://schemas.microsoft.com/office/drawing/2010/main" val="0"/>
                        </a:ext>
                      </a:extLst>
                    </a:blip>
                    <a:srcRect b="-198"/>
                    <a:stretch>
                      <a:fillRect/>
                    </a:stretch>
                  </pic:blipFill>
                  <pic:spPr bwMode="auto">
                    <a:xfrm>
                      <a:off x="0" y="0"/>
                      <a:ext cx="5402580" cy="959485"/>
                    </a:xfrm>
                    <a:prstGeom prst="rect">
                      <a:avLst/>
                    </a:prstGeom>
                    <a:noFill/>
                    <a:ln>
                      <a:noFill/>
                    </a:ln>
                  </pic:spPr>
                </pic:pic>
              </a:graphicData>
            </a:graphic>
          </wp:inline>
        </w:drawing>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04AFF">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 xml:space="preserve">קביעה זו, כי, "רב הנסתר על הגלוי בנוגע להכנסות הנתבע ולהיקף נכסיו", אוששה בתשתית הראייתית שהובאה ובממצאי חוות הדעת המומחה, שהעריכה את הכנסתו החודשית של הנתבע בסך של </w:t>
      </w:r>
      <w:r w:rsidRPr="00AE33D8">
        <w:rPr>
          <w:rFonts w:ascii="Arial" w:hAnsi="Arial"/>
          <w:b/>
          <w:bCs/>
          <w:noProof w:val="0"/>
          <w:rtl/>
        </w:rPr>
        <w:t>69,778 ₪ נטו לחודש</w:t>
      </w:r>
      <w:r w:rsidRPr="00AE33D8">
        <w:rPr>
          <w:rFonts w:ascii="Arial" w:hAnsi="Arial"/>
          <w:noProof w:val="0"/>
          <w:rtl/>
        </w:rPr>
        <w:t xml:space="preserve"> שבה הוצג היקף רכוש הנתבע, ושאותה אני מוצאת לנכון לאמץ, כפי שיפורט.</w:t>
      </w:r>
    </w:p>
    <w:p w:rsidR="00AE33D8" w:rsidRPr="00AE33D8" w:rsidRDefault="00AE33D8" w:rsidP="00A04AFF">
      <w:pPr>
        <w:spacing w:after="240" w:line="360" w:lineRule="auto"/>
        <w:contextualSpacing/>
        <w:jc w:val="both"/>
        <w:rPr>
          <w:rFonts w:ascii="Arial" w:hAnsi="Arial"/>
          <w:noProof w:val="0"/>
        </w:rPr>
      </w:pPr>
    </w:p>
    <w:p w:rsidR="00AE33D8" w:rsidRPr="00AE33D8" w:rsidRDefault="00AE33D8" w:rsidP="00A04AFF">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lastRenderedPageBreak/>
        <w:t xml:space="preserve">בטרם, אדרש לכל אחד ממקורות הכנסות החודשיות של הנתבע (משכורתו, הכנסותיו משכר דירה, דיבידנדים ודיבידנדים כלואים), כפי שיפורט ויודגם בהמשך, </w:t>
      </w:r>
      <w:r w:rsidRPr="00AE33D8">
        <w:rPr>
          <w:rFonts w:ascii="Arial" w:hAnsi="Arial"/>
          <w:b/>
          <w:bCs/>
          <w:noProof w:val="0"/>
          <w:rtl/>
        </w:rPr>
        <w:t>נמנע הנתבע לאורך כל ההליך מגילוי מסמכים שונים שבשליטתו ובחר להציג מידע חלקי,</w:t>
      </w:r>
      <w:r w:rsidRPr="00AE33D8">
        <w:rPr>
          <w:rFonts w:ascii="Arial" w:hAnsi="Arial"/>
          <w:noProof w:val="0"/>
          <w:rtl/>
        </w:rPr>
        <w:t xml:space="preserve"> תוך שימוש באמתלות סרק. לכך יש נפקות. הימנעות זו מקימה חזקה הפועלת כנגד הנתבע הנמנע, שלפיה הכנסתו מגיעה לגובה הכנסה שלה טען הצד השני.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spacing w:after="240" w:line="360" w:lineRule="auto"/>
        <w:ind w:firstLine="720"/>
        <w:contextualSpacing/>
        <w:jc w:val="both"/>
        <w:rPr>
          <w:rFonts w:ascii="Arial" w:hAnsi="Arial"/>
          <w:noProof w:val="0"/>
          <w:rtl/>
        </w:rPr>
      </w:pPr>
      <w:r w:rsidRPr="00AE33D8">
        <w:rPr>
          <w:rFonts w:ascii="Arial" w:hAnsi="Arial"/>
          <w:noProof w:val="0"/>
          <w:rtl/>
        </w:rPr>
        <w:t xml:space="preserve">על המשמעויות שיש לייחס להתנהלות כזו נקבע ב ע"א 9656/05 </w:t>
      </w:r>
      <w:r w:rsidRPr="00AE33D8">
        <w:rPr>
          <w:rFonts w:ascii="Arial" w:hAnsi="Arial"/>
          <w:b/>
          <w:bCs/>
          <w:noProof w:val="0"/>
          <w:rtl/>
        </w:rPr>
        <w:t>שוורץ נ' רמנוף חברה לסחר וציוד בניה בע"מ</w:t>
      </w:r>
      <w:r w:rsidRPr="00AE33D8">
        <w:rPr>
          <w:rFonts w:ascii="Arial" w:hAnsi="Arial"/>
          <w:noProof w:val="0"/>
          <w:rtl/>
        </w:rPr>
        <w:t>) (27.7.2008) (להלן- "</w:t>
      </w:r>
      <w:r w:rsidRPr="00AE33D8">
        <w:rPr>
          <w:rFonts w:ascii="Arial" w:hAnsi="Arial"/>
          <w:b/>
          <w:bCs/>
          <w:noProof w:val="0"/>
          <w:rtl/>
        </w:rPr>
        <w:t>הלכת שוורץ</w:t>
      </w:r>
      <w:r w:rsidRPr="00AE33D8">
        <w:rPr>
          <w:rFonts w:ascii="Arial" w:hAnsi="Arial"/>
          <w:noProof w:val="0"/>
          <w:rtl/>
        </w:rPr>
        <w:t>"):</w:t>
      </w:r>
    </w:p>
    <w:p w:rsidR="00AE33D8" w:rsidRPr="00AE33D8" w:rsidRDefault="00AE33D8" w:rsidP="00AE33D8">
      <w:pPr>
        <w:spacing w:after="240"/>
        <w:ind w:left="1134" w:right="1134"/>
        <w:contextualSpacing/>
        <w:jc w:val="both"/>
        <w:rPr>
          <w:rFonts w:ascii="Arial" w:hAnsi="Arial"/>
          <w:noProof w:val="0"/>
        </w:rPr>
      </w:pPr>
      <w:r w:rsidRPr="00AE33D8">
        <w:rPr>
          <w:rFonts w:ascii="Arial" w:hAnsi="Arial"/>
          <w:b/>
          <w:bCs/>
          <w:noProof w:val="0"/>
          <w:rtl/>
        </w:rPr>
        <w:t>"לעתים, הדרך שבה מנהל בעל דין את עניינו בבית המשפט הינה בעלת משמעות ראייתית, באופן דומה לראייה נסיבתית, וניתן להעניק משמעות ראייתית לאי הגשת ראיה. התנהגות כגון דא, בהעדר הסבר אמין וסביר – פועלת לחובתו של הנוקט בה, שכן היא מקימה למעשה חזקה שבעובדה, הנעוצה בהגיון ובנסיון החיים – לפיה דין ההימנעות כדין הודאה בכך שלו הובאה אותה ראייה, היא הייתה פועלת לחובת הנמנע ותומכת בגרסת היריב. בדרך זו ניתן למעשה משקל ראייתי לראייה שלא הובאה"</w:t>
      </w:r>
      <w:r w:rsidRPr="00AE33D8">
        <w:rPr>
          <w:rFonts w:ascii="Arial" w:hAnsi="Arial"/>
          <w:noProof w:val="0"/>
          <w:rtl/>
        </w:rPr>
        <w:t>.</w:t>
      </w:r>
    </w:p>
    <w:p w:rsidR="00AE33D8" w:rsidRPr="00AE33D8" w:rsidRDefault="00AE33D8" w:rsidP="00AE33D8">
      <w:pPr>
        <w:spacing w:after="240" w:line="360" w:lineRule="auto"/>
        <w:contextualSpacing/>
        <w:jc w:val="both"/>
        <w:rPr>
          <w:rFonts w:ascii="Arial" w:hAnsi="Arial"/>
          <w:b/>
          <w:bCs/>
          <w:noProof w:val="0"/>
          <w:u w:val="single"/>
          <w:rtl/>
        </w:rPr>
      </w:pPr>
    </w:p>
    <w:p w:rsidR="00AE33D8" w:rsidRPr="00AE33D8" w:rsidRDefault="00AE33D8" w:rsidP="00AE33D8">
      <w:pPr>
        <w:spacing w:after="240" w:line="360" w:lineRule="auto"/>
        <w:ind w:firstLine="720"/>
        <w:contextualSpacing/>
        <w:jc w:val="both"/>
        <w:rPr>
          <w:rFonts w:ascii="Arial" w:hAnsi="Arial"/>
          <w:noProof w:val="0"/>
          <w:rtl/>
        </w:rPr>
      </w:pPr>
      <w:r w:rsidRPr="00AE33D8">
        <w:rPr>
          <w:rFonts w:ascii="Arial" w:hAnsi="Arial"/>
          <w:noProof w:val="0"/>
          <w:rtl/>
        </w:rPr>
        <w:t>על מנת לאמוד על היקף הכנסותיו של הנתבע יש לאמוד את נכסיו ושלגביהם הונחו ראיות.</w:t>
      </w:r>
    </w:p>
    <w:p w:rsidR="00AE33D8" w:rsidRPr="00AE33D8" w:rsidRDefault="00AE33D8" w:rsidP="00AE33D8">
      <w:pPr>
        <w:spacing w:after="240" w:line="360" w:lineRule="auto"/>
        <w:contextualSpacing/>
        <w:jc w:val="both"/>
        <w:rPr>
          <w:rFonts w:ascii="Arial" w:hAnsi="Arial"/>
          <w:noProof w:val="0"/>
          <w:rtl/>
        </w:rPr>
      </w:pPr>
    </w:p>
    <w:p w:rsidR="00AE33D8" w:rsidRPr="00AE33D8" w:rsidRDefault="00AE33D8" w:rsidP="00AE33D8">
      <w:pPr>
        <w:spacing w:after="240" w:line="360" w:lineRule="auto"/>
        <w:contextualSpacing/>
        <w:jc w:val="both"/>
        <w:rPr>
          <w:rFonts w:ascii="Arial" w:hAnsi="Arial"/>
          <w:noProof w:val="0"/>
          <w:rtl/>
        </w:rPr>
      </w:pPr>
      <w:r w:rsidRPr="00AE33D8">
        <w:rPr>
          <w:rFonts w:ascii="Arial" w:hAnsi="Arial"/>
          <w:noProof w:val="0"/>
          <w:rtl/>
        </w:rPr>
        <w:t>לכך אדרש עתה.</w:t>
      </w:r>
    </w:p>
    <w:p w:rsidR="00AE33D8" w:rsidRPr="00AE33D8" w:rsidRDefault="00AE33D8" w:rsidP="00AE33D8">
      <w:pPr>
        <w:spacing w:after="240" w:line="360" w:lineRule="auto"/>
        <w:contextualSpacing/>
        <w:jc w:val="both"/>
        <w:rPr>
          <w:rFonts w:ascii="Arial" w:hAnsi="Arial"/>
          <w:noProof w:val="0"/>
          <w:rtl/>
        </w:rPr>
      </w:pPr>
    </w:p>
    <w:p w:rsidR="00AE33D8" w:rsidRPr="00AE33D8" w:rsidRDefault="00AE33D8" w:rsidP="00775922">
      <w:pPr>
        <w:spacing w:after="240" w:line="360" w:lineRule="auto"/>
        <w:contextualSpacing/>
        <w:jc w:val="both"/>
        <w:rPr>
          <w:rFonts w:ascii="Arial" w:hAnsi="Arial"/>
          <w:b/>
          <w:bCs/>
          <w:noProof w:val="0"/>
          <w:u w:val="single"/>
          <w:rtl/>
        </w:rPr>
      </w:pPr>
      <w:r w:rsidRPr="00AE33D8">
        <w:rPr>
          <w:rFonts w:ascii="Arial" w:hAnsi="Arial"/>
          <w:b/>
          <w:bCs/>
          <w:noProof w:val="0"/>
          <w:u w:val="single"/>
          <w:rtl/>
        </w:rPr>
        <w:t>הכנסת הנתבע מחברת "</w:t>
      </w:r>
      <w:r w:rsidR="00775922">
        <w:rPr>
          <w:rFonts w:ascii="Arial" w:hAnsi="Arial" w:hint="cs"/>
          <w:b/>
          <w:bCs/>
          <w:noProof w:val="0"/>
          <w:u w:val="single"/>
        </w:rPr>
        <w:t>Z</w:t>
      </w:r>
      <w:r w:rsidR="00E400B2">
        <w:rPr>
          <w:rFonts w:ascii="Arial" w:hAnsi="Arial"/>
          <w:b/>
          <w:bCs/>
          <w:noProof w:val="0"/>
          <w:u w:val="single"/>
        </w:rPr>
        <w:t>Z</w:t>
      </w:r>
      <w:r w:rsidR="00775922">
        <w:rPr>
          <w:rFonts w:ascii="Arial" w:hAnsi="Arial" w:hint="cs"/>
          <w:b/>
          <w:bCs/>
          <w:noProof w:val="0"/>
          <w:u w:val="single"/>
        </w:rPr>
        <w:t>Z</w:t>
      </w:r>
      <w:r w:rsidRPr="00AE33D8">
        <w:rPr>
          <w:rFonts w:ascii="Arial" w:hAnsi="Arial"/>
          <w:b/>
          <w:bCs/>
          <w:noProof w:val="0"/>
          <w:u w:val="single"/>
          <w:rtl/>
        </w:rPr>
        <w:t>- (להלן: "החברה")</w:t>
      </w:r>
    </w:p>
    <w:p w:rsidR="00AE33D8" w:rsidRPr="00AE33D8" w:rsidRDefault="00AE33D8" w:rsidP="00775922">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 xml:space="preserve">הנתבע עובד כשכיר בחברה העוסקת ביזמות ובניהול בתחום הנדל"ן. החברה נשלטת שליטה עקיפה על ידי גברת </w:t>
      </w:r>
      <w:r w:rsidR="00775922">
        <w:rPr>
          <w:rFonts w:ascii="Arial" w:hAnsi="Arial" w:hint="cs"/>
          <w:noProof w:val="0"/>
        </w:rPr>
        <w:t>S</w:t>
      </w:r>
      <w:r w:rsidRPr="00AE33D8">
        <w:rPr>
          <w:rFonts w:ascii="Arial" w:hAnsi="Arial"/>
          <w:noProof w:val="0"/>
          <w:rtl/>
        </w:rPr>
        <w:t xml:space="preserve"> ז"ל, דודתו של הנתבע. גברת </w:t>
      </w:r>
      <w:r w:rsidR="00775922">
        <w:rPr>
          <w:rFonts w:ascii="Arial" w:hAnsi="Arial" w:hint="cs"/>
          <w:noProof w:val="0"/>
        </w:rPr>
        <w:t>S</w:t>
      </w:r>
      <w:r w:rsidRPr="00AE33D8">
        <w:rPr>
          <w:rFonts w:ascii="Arial" w:hAnsi="Arial"/>
          <w:noProof w:val="0"/>
          <w:rtl/>
        </w:rPr>
        <w:t xml:space="preserve"> ז"ל שלטה ב-100% ממניות חברת "</w:t>
      </w:r>
      <w:r w:rsidR="00775922">
        <w:rPr>
          <w:rFonts w:ascii="Arial" w:hAnsi="Arial" w:hint="cs"/>
          <w:noProof w:val="0"/>
        </w:rPr>
        <w:t>DD</w:t>
      </w:r>
      <w:r w:rsidR="00E400B2">
        <w:rPr>
          <w:rFonts w:ascii="Arial" w:hAnsi="Arial"/>
          <w:noProof w:val="0"/>
        </w:rPr>
        <w:t>D</w:t>
      </w:r>
      <w:r w:rsidRPr="00AE33D8">
        <w:rPr>
          <w:rFonts w:ascii="Arial" w:hAnsi="Arial"/>
          <w:noProof w:val="0"/>
          <w:rtl/>
        </w:rPr>
        <w:t xml:space="preserve"> בע"מ", השולטת ב-100% ממניות החברה ושבה הנתבע משמש כדירקטור ובעל תפקיד (ראו- "עץ האחזקות" המופיע בסע' 3 בעמ' 11 לחוות הדעת). הכנסת הנתבע מהחברה עומדת על סך של כ- </w:t>
      </w:r>
      <w:r w:rsidRPr="00AE33D8">
        <w:rPr>
          <w:rFonts w:ascii="Arial" w:hAnsi="Arial"/>
          <w:b/>
          <w:bCs/>
          <w:noProof w:val="0"/>
          <w:rtl/>
        </w:rPr>
        <w:t>11,000 ₪ נטו לחודש</w:t>
      </w:r>
      <w:r w:rsidRPr="00AE33D8">
        <w:rPr>
          <w:rFonts w:ascii="Arial" w:hAnsi="Arial"/>
          <w:noProof w:val="0"/>
          <w:rtl/>
        </w:rPr>
        <w:t xml:space="preserve">. </w:t>
      </w:r>
    </w:p>
    <w:p w:rsidR="00AE33D8" w:rsidRPr="00AE33D8" w:rsidRDefault="00AE33D8" w:rsidP="00A04AFF">
      <w:pPr>
        <w:spacing w:after="240" w:line="360" w:lineRule="auto"/>
        <w:contextualSpacing/>
        <w:jc w:val="both"/>
        <w:rPr>
          <w:rFonts w:ascii="Arial" w:hAnsi="Arial"/>
          <w:noProof w:val="0"/>
        </w:rPr>
      </w:pPr>
    </w:p>
    <w:p w:rsidR="00AE33D8" w:rsidRPr="00AE33D8" w:rsidRDefault="00AE33D8" w:rsidP="00A04AFF">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לטענת הנתבע, בשנת 2022 סיים את עבודתו בחברה. עם זאת, הממצאים העובדתיים כפי שהונחו לפניי מלמדים אחרת, ונראה כי הנתבע ממשיך לעבוד בה גם כיום ולקבל ממנה הכנסה, לשם הנוחות להלן הנימוקים:</w:t>
      </w:r>
    </w:p>
    <w:p w:rsidR="00AE33D8" w:rsidRPr="00AE33D8" w:rsidRDefault="00AE33D8" w:rsidP="00775922">
      <w:pPr>
        <w:numPr>
          <w:ilvl w:val="0"/>
          <w:numId w:val="12"/>
        </w:numPr>
        <w:spacing w:after="240" w:line="360" w:lineRule="auto"/>
        <w:ind w:left="992" w:hanging="284"/>
        <w:contextualSpacing/>
        <w:jc w:val="both"/>
        <w:rPr>
          <w:rFonts w:ascii="Arial" w:hAnsi="Arial"/>
          <w:noProof w:val="0"/>
        </w:rPr>
      </w:pPr>
      <w:r w:rsidRPr="00AE33D8">
        <w:rPr>
          <w:rFonts w:ascii="Arial" w:hAnsi="Arial"/>
          <w:noProof w:val="0"/>
          <w:rtl/>
        </w:rPr>
        <w:t xml:space="preserve">לטענת הנתבע עבודתו בחברה הסתיימה עם גמר פרויקט הבנייה ברחוב </w:t>
      </w:r>
      <w:r w:rsidR="00775922">
        <w:rPr>
          <w:rFonts w:ascii="Arial" w:hAnsi="Arial" w:hint="cs"/>
          <w:noProof w:val="0"/>
        </w:rPr>
        <w:t xml:space="preserve">XXX </w:t>
      </w:r>
      <w:r w:rsidRPr="00AE33D8">
        <w:rPr>
          <w:rFonts w:ascii="Arial" w:hAnsi="Arial"/>
          <w:noProof w:val="0"/>
          <w:rtl/>
        </w:rPr>
        <w:t>בתל אביב (להלן: "</w:t>
      </w:r>
      <w:r w:rsidRPr="00AE33D8">
        <w:rPr>
          <w:rFonts w:ascii="Arial" w:hAnsi="Arial"/>
          <w:b/>
          <w:bCs/>
          <w:noProof w:val="0"/>
          <w:rtl/>
        </w:rPr>
        <w:t>הנכס ב</w:t>
      </w:r>
      <w:r w:rsidR="00775922">
        <w:rPr>
          <w:rFonts w:ascii="Arial" w:hAnsi="Arial" w:hint="cs"/>
          <w:b/>
          <w:bCs/>
          <w:noProof w:val="0"/>
        </w:rPr>
        <w:t>XXX</w:t>
      </w:r>
      <w:r w:rsidRPr="00AE33D8">
        <w:rPr>
          <w:rFonts w:ascii="Arial" w:hAnsi="Arial"/>
          <w:noProof w:val="0"/>
          <w:rtl/>
        </w:rPr>
        <w:t>");</w:t>
      </w:r>
    </w:p>
    <w:p w:rsidR="00AE33D8" w:rsidRPr="00AE33D8" w:rsidRDefault="00AE33D8" w:rsidP="00434AE3">
      <w:pPr>
        <w:numPr>
          <w:ilvl w:val="0"/>
          <w:numId w:val="12"/>
        </w:numPr>
        <w:spacing w:after="240" w:line="360" w:lineRule="auto"/>
        <w:ind w:left="992" w:hanging="284"/>
        <w:contextualSpacing/>
        <w:jc w:val="both"/>
        <w:rPr>
          <w:rFonts w:ascii="Arial" w:hAnsi="Arial"/>
          <w:noProof w:val="0"/>
        </w:rPr>
      </w:pPr>
      <w:r w:rsidRPr="00AE33D8">
        <w:rPr>
          <w:rFonts w:ascii="Arial" w:hAnsi="Arial"/>
          <w:noProof w:val="0"/>
          <w:rtl/>
        </w:rPr>
        <w:t>הנתבע עובד יחיד בחברה, מונה ליושב ראש החברה, מנהל דה פקטו את החברה, דירקטור ומורשה חתימה בלעדי בחברה (עמ' 70, שו' 32-28 ועמ' 96 שו' 7-6  לפרוטוקול);</w:t>
      </w:r>
    </w:p>
    <w:p w:rsidR="00AE33D8" w:rsidRPr="00AE33D8" w:rsidRDefault="00AE33D8" w:rsidP="00434AE3">
      <w:pPr>
        <w:numPr>
          <w:ilvl w:val="0"/>
          <w:numId w:val="12"/>
        </w:numPr>
        <w:spacing w:after="240" w:line="360" w:lineRule="auto"/>
        <w:ind w:left="992" w:hanging="284"/>
        <w:contextualSpacing/>
        <w:jc w:val="both"/>
        <w:rPr>
          <w:rFonts w:ascii="Arial" w:hAnsi="Arial"/>
          <w:noProof w:val="0"/>
        </w:rPr>
      </w:pPr>
      <w:r w:rsidRPr="00AE33D8">
        <w:rPr>
          <w:rFonts w:ascii="Arial" w:hAnsi="Arial"/>
          <w:noProof w:val="0"/>
          <w:rtl/>
        </w:rPr>
        <w:t>הנתבע אישר כי הוא ערב אישית בבנק דיסקונט בסכום 17,000,000 ₪ על פרויקט של החברה (עמ' 71, שו' 25-17 לפרוטוקול);</w:t>
      </w:r>
    </w:p>
    <w:p w:rsidR="00AE33D8" w:rsidRPr="00AE33D8" w:rsidRDefault="00AE33D8" w:rsidP="00775922">
      <w:pPr>
        <w:numPr>
          <w:ilvl w:val="0"/>
          <w:numId w:val="12"/>
        </w:numPr>
        <w:spacing w:after="240" w:line="360" w:lineRule="auto"/>
        <w:ind w:left="992" w:hanging="284"/>
        <w:contextualSpacing/>
        <w:jc w:val="both"/>
        <w:rPr>
          <w:rFonts w:ascii="Arial" w:hAnsi="Arial"/>
          <w:noProof w:val="0"/>
        </w:rPr>
      </w:pPr>
      <w:r w:rsidRPr="00AE33D8">
        <w:rPr>
          <w:rFonts w:ascii="Arial" w:hAnsi="Arial"/>
          <w:noProof w:val="0"/>
          <w:rtl/>
        </w:rPr>
        <w:lastRenderedPageBreak/>
        <w:t xml:space="preserve">הנתבע החל לעבוד בחברה ביום 1.6.2012, בעוד לפי טופס 4 (טופס אישור אכלוס/שימוש במבנה), שצורף כנספח ג לשאלות ההבהרה שנשלחו למומחה, ההיתר הראשוני שניתן לבניית הנכס ברחוב </w:t>
      </w:r>
      <w:r w:rsidR="00775922">
        <w:rPr>
          <w:rFonts w:ascii="Arial" w:hAnsi="Arial" w:hint="cs"/>
          <w:noProof w:val="0"/>
        </w:rPr>
        <w:t>XXX</w:t>
      </w:r>
      <w:r w:rsidRPr="00AE33D8">
        <w:rPr>
          <w:rFonts w:ascii="Arial" w:hAnsi="Arial"/>
          <w:noProof w:val="0"/>
          <w:rtl/>
        </w:rPr>
        <w:t xml:space="preserve"> ניתן ביום 7.9.2016. ארבע שנים לאחר תחילת עבודתו של הנתבע בחברה (ראו עמ' 2 לתשובות המומחה). העובדה, כי הנתבע החל לעבוד בחברה ארבע שנים בטרם קבלת היתר ראשוני של הפרויקט ברחוב </w:t>
      </w:r>
      <w:r w:rsidR="00775922">
        <w:rPr>
          <w:rFonts w:ascii="Arial" w:hAnsi="Arial" w:hint="cs"/>
          <w:noProof w:val="0"/>
        </w:rPr>
        <w:t>XXX</w:t>
      </w:r>
      <w:r w:rsidRPr="00AE33D8">
        <w:rPr>
          <w:rFonts w:ascii="Arial" w:hAnsi="Arial"/>
          <w:noProof w:val="0"/>
          <w:rtl/>
        </w:rPr>
        <w:t>, שומטת את הקרקע תחת טענתו לתלות בין עבודתו בחברה לבין סיום בניית הפרויקט;</w:t>
      </w:r>
    </w:p>
    <w:p w:rsidR="00AE33D8" w:rsidRPr="00AE33D8" w:rsidRDefault="00AE33D8" w:rsidP="00434AE3">
      <w:pPr>
        <w:numPr>
          <w:ilvl w:val="0"/>
          <w:numId w:val="12"/>
        </w:numPr>
        <w:spacing w:after="240" w:line="360" w:lineRule="auto"/>
        <w:ind w:left="992" w:hanging="284"/>
        <w:contextualSpacing/>
        <w:jc w:val="both"/>
        <w:rPr>
          <w:rFonts w:ascii="Arial" w:hAnsi="Arial"/>
          <w:noProof w:val="0"/>
        </w:rPr>
      </w:pPr>
      <w:r w:rsidRPr="00AE33D8">
        <w:rPr>
          <w:rFonts w:ascii="Arial" w:hAnsi="Arial"/>
          <w:noProof w:val="0"/>
          <w:rtl/>
        </w:rPr>
        <w:t xml:space="preserve">הנתבע תמך את הפסקת עבודתו בחברה במסמך הודעה, בשם החברה מיום 31.12.2021, (להלן: </w:t>
      </w:r>
      <w:r w:rsidRPr="00AE33D8">
        <w:rPr>
          <w:rFonts w:ascii="Arial" w:hAnsi="Arial"/>
          <w:b/>
          <w:bCs/>
          <w:noProof w:val="0"/>
          <w:rtl/>
        </w:rPr>
        <w:t>"הודעת סיום העבודה"</w:t>
      </w:r>
      <w:r w:rsidRPr="00AE33D8">
        <w:rPr>
          <w:rFonts w:ascii="Arial" w:hAnsi="Arial"/>
          <w:noProof w:val="0"/>
          <w:rtl/>
        </w:rPr>
        <w:t>). אלא מאי, בעדותו אישר הנתבע כי הוא חתם על הודעת סיום העבודה. הצהרתו, כי הוא העובד היחיד בחברה (בשים לב כי החברה עודנה פעילה), מעוררת תחושת אי נוחות ומטילה ספק במהימנותה של ההודעה. ראו עדות הנתבע בעמ' 96 שו' 10-8 לפרוטוקול:</w:t>
      </w:r>
    </w:p>
    <w:p w:rsidR="00AE33D8" w:rsidRPr="00AE33D8" w:rsidRDefault="004309DA" w:rsidP="004309DA">
      <w:pPr>
        <w:spacing w:after="240" w:line="360" w:lineRule="auto"/>
        <w:ind w:left="708"/>
        <w:contextualSpacing/>
        <w:jc w:val="both"/>
        <w:rPr>
          <w:rFonts w:ascii="Arial" w:hAnsi="Arial"/>
          <w:noProof w:val="0"/>
        </w:rPr>
      </w:pPr>
      <w:r w:rsidRPr="004309DA">
        <w:rPr>
          <w:rFonts w:ascii="Arial" w:hAnsi="Arial"/>
          <w:rtl/>
        </w:rPr>
        <w:drawing>
          <wp:inline distT="0" distB="0" distL="0" distR="0">
            <wp:extent cx="5248142" cy="599438"/>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2402" cy="602209"/>
                    </a:xfrm>
                    <a:prstGeom prst="rect">
                      <a:avLst/>
                    </a:prstGeom>
                    <a:noFill/>
                    <a:ln>
                      <a:noFill/>
                    </a:ln>
                  </pic:spPr>
                </pic:pic>
              </a:graphicData>
            </a:graphic>
          </wp:inline>
        </w:drawing>
      </w:r>
    </w:p>
    <w:p w:rsidR="00AE33D8" w:rsidRPr="00AE33D8" w:rsidRDefault="00AE33D8" w:rsidP="004309DA">
      <w:pPr>
        <w:numPr>
          <w:ilvl w:val="0"/>
          <w:numId w:val="12"/>
        </w:numPr>
        <w:spacing w:after="120" w:line="360" w:lineRule="auto"/>
        <w:ind w:left="992" w:hanging="284"/>
        <w:contextualSpacing/>
        <w:jc w:val="both"/>
        <w:rPr>
          <w:rFonts w:ascii="Arial" w:hAnsi="Arial"/>
          <w:noProof w:val="0"/>
        </w:rPr>
      </w:pPr>
      <w:r w:rsidRPr="00AE33D8">
        <w:rPr>
          <w:rFonts w:ascii="Arial" w:hAnsi="Arial"/>
          <w:noProof w:val="0"/>
          <w:rtl/>
        </w:rPr>
        <w:t xml:space="preserve">שכר הנתבע בחברה חושב על ידי המומחה כהכנסה קבועה וממשיכה, לנוכח העובדה שלא הוצגו מסמכי גמר חשבון לסיום יחסי עובד ומעביד בין הנתבע ובין החברה; לא הוצג כל הסכם  או כל מסמך על ידי הנתבע חרף דרישות מהמומחה בעניין (לרבות הסכם שכירות). עבודת הנתבע בחברה לא נבעה אד הוק לצורך הקמת הפרויקט ברחוב </w:t>
      </w:r>
      <w:r w:rsidR="004309DA">
        <w:rPr>
          <w:rFonts w:ascii="Arial" w:hAnsi="Arial" w:hint="cs"/>
          <w:noProof w:val="0"/>
        </w:rPr>
        <w:t>XXX</w:t>
      </w:r>
      <w:r w:rsidRPr="00AE33D8">
        <w:rPr>
          <w:rFonts w:ascii="Arial" w:hAnsi="Arial"/>
          <w:noProof w:val="0"/>
          <w:rtl/>
        </w:rPr>
        <w:t xml:space="preserve">, הראיה, הנתבע החל לעבודה בה 4 שנים לפני תחילת הבניה, </w:t>
      </w:r>
      <w:r w:rsidRPr="00AE33D8">
        <w:rPr>
          <w:rFonts w:ascii="Arial" w:hAnsi="Arial"/>
          <w:b/>
          <w:bCs/>
          <w:noProof w:val="0"/>
          <w:rtl/>
        </w:rPr>
        <w:t>וממשיך דה פקטו לעבוד בה גם היום.</w:t>
      </w:r>
    </w:p>
    <w:p w:rsidR="00AE33D8" w:rsidRPr="00AE33D8" w:rsidRDefault="00AE33D8" w:rsidP="00AE33D8">
      <w:pPr>
        <w:spacing w:after="240" w:line="360" w:lineRule="auto"/>
        <w:ind w:left="2160"/>
        <w:contextualSpacing/>
        <w:jc w:val="both"/>
        <w:rPr>
          <w:rFonts w:ascii="Arial" w:hAnsi="Arial"/>
          <w:noProof w:val="0"/>
          <w:rtl/>
        </w:rPr>
      </w:pP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David" w:hAnsi="David"/>
          <w:noProof w:val="0"/>
          <w:rtl/>
        </w:rPr>
      </w:pPr>
      <w:r w:rsidRPr="00AE33D8">
        <w:rPr>
          <w:rFonts w:ascii="David" w:hAnsi="David"/>
          <w:noProof w:val="0"/>
          <w:rtl/>
        </w:rPr>
        <w:t xml:space="preserve">על כן, נוכח התשתית הראייתית שהונחה לפני ולנוכח עדות הנתבע, אני מתקשה לקבל את הטענה כי החברה אינה מהווה עוד חלק ממקורות הכנסתו. </w:t>
      </w:r>
    </w:p>
    <w:p w:rsidR="00AE33D8" w:rsidRPr="00AE33D8" w:rsidRDefault="00AE33D8" w:rsidP="00A04AFF">
      <w:pPr>
        <w:autoSpaceDE w:val="0"/>
        <w:autoSpaceDN w:val="0"/>
        <w:adjustRightInd w:val="0"/>
        <w:spacing w:after="240" w:line="360" w:lineRule="auto"/>
        <w:contextualSpacing/>
        <w:jc w:val="both"/>
        <w:rPr>
          <w:rFonts w:ascii="David" w:hAnsi="David"/>
          <w:noProof w:val="0"/>
        </w:rPr>
      </w:pP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David" w:hAnsi="David"/>
          <w:noProof w:val="0"/>
          <w:rtl/>
        </w:rPr>
      </w:pPr>
      <w:r w:rsidRPr="00AE33D8">
        <w:rPr>
          <w:rFonts w:ascii="David" w:hAnsi="David"/>
          <w:noProof w:val="0"/>
          <w:rtl/>
        </w:rPr>
        <w:t>יתרה מכך, טענת הנתבע כי במהלך תקופות ההליכים המשפטיים הופסקה עבודתו, ומשום כך גם ירדה הכנסתו הכוללת, היא טענה, שכל עוד לא הוכחה כדבעי, הפסיקה הטילה ספק במהימנותה.</w:t>
      </w:r>
    </w:p>
    <w:p w:rsidR="00AE33D8" w:rsidRPr="00AE33D8" w:rsidRDefault="00AE33D8" w:rsidP="00AE33D8">
      <w:pPr>
        <w:spacing w:after="120" w:line="276" w:lineRule="auto"/>
        <w:ind w:left="720"/>
        <w:contextualSpacing/>
        <w:rPr>
          <w:rFonts w:ascii="David" w:hAnsi="David"/>
          <w:noProof w:val="0"/>
        </w:rPr>
      </w:pPr>
    </w:p>
    <w:p w:rsidR="00AE33D8" w:rsidRPr="00AE33D8" w:rsidRDefault="00AE33D8" w:rsidP="00AE33D8">
      <w:pPr>
        <w:autoSpaceDE w:val="0"/>
        <w:autoSpaceDN w:val="0"/>
        <w:adjustRightInd w:val="0"/>
        <w:spacing w:after="240" w:line="360" w:lineRule="auto"/>
        <w:ind w:firstLine="720"/>
        <w:contextualSpacing/>
        <w:jc w:val="both"/>
        <w:rPr>
          <w:rFonts w:ascii="David" w:hAnsi="David"/>
          <w:noProof w:val="0"/>
          <w:rtl/>
        </w:rPr>
      </w:pPr>
      <w:r w:rsidRPr="00AE33D8">
        <w:rPr>
          <w:rFonts w:ascii="David" w:hAnsi="David"/>
          <w:noProof w:val="0"/>
          <w:rtl/>
        </w:rPr>
        <w:t xml:space="preserve">ראו בעניין זה בר"ע (ת"א) 49/96 </w:t>
      </w:r>
      <w:r w:rsidRPr="00AE33D8">
        <w:rPr>
          <w:rFonts w:ascii="David" w:hAnsi="David"/>
          <w:b/>
          <w:bCs/>
          <w:noProof w:val="0"/>
          <w:rtl/>
        </w:rPr>
        <w:t>פלוני נ' אלמוני</w:t>
      </w:r>
      <w:r w:rsidRPr="00AE33D8">
        <w:rPr>
          <w:rFonts w:ascii="David" w:hAnsi="David"/>
          <w:noProof w:val="0"/>
          <w:rtl/>
        </w:rPr>
        <w:t xml:space="preserve"> (15.10.1996):</w:t>
      </w:r>
    </w:p>
    <w:p w:rsidR="00AE33D8" w:rsidRPr="00AE33D8" w:rsidRDefault="00AE33D8" w:rsidP="00AE33D8">
      <w:pPr>
        <w:autoSpaceDE w:val="0"/>
        <w:autoSpaceDN w:val="0"/>
        <w:adjustRightInd w:val="0"/>
        <w:spacing w:after="240"/>
        <w:ind w:left="1134" w:right="1134"/>
        <w:contextualSpacing/>
        <w:jc w:val="both"/>
        <w:rPr>
          <w:rFonts w:ascii="David" w:hAnsi="David"/>
          <w:b/>
          <w:bCs/>
          <w:noProof w:val="0"/>
          <w:rtl/>
        </w:rPr>
      </w:pPr>
      <w:r w:rsidRPr="00AE33D8">
        <w:rPr>
          <w:rFonts w:ascii="David" w:hAnsi="David"/>
          <w:b/>
          <w:bCs/>
          <w:noProof w:val="0"/>
          <w:rtl/>
        </w:rPr>
        <w:t>"כאשר פורץ ריב בין הבעל לאשה, יש הבעל נוקט בתחבולות לשם הקטנת הכנסותיו, כדי לפגוע באמצעים שיעמדו לרשות האשה לשם כך הוא מחליף את מקום עבודתו או שהוא סוגר את עסקו, או שצמצמם את שעות עבודתו..."</w:t>
      </w:r>
    </w:p>
    <w:p w:rsidR="00AE33D8" w:rsidRPr="00AE33D8" w:rsidRDefault="00AE33D8" w:rsidP="00AE33D8">
      <w:pPr>
        <w:autoSpaceDE w:val="0"/>
        <w:autoSpaceDN w:val="0"/>
        <w:adjustRightInd w:val="0"/>
        <w:spacing w:after="240" w:line="360" w:lineRule="auto"/>
        <w:contextualSpacing/>
        <w:jc w:val="both"/>
        <w:rPr>
          <w:rFonts w:ascii="David" w:hAnsi="David"/>
          <w:b/>
          <w:bCs/>
          <w:noProof w:val="0"/>
          <w:rtl/>
        </w:rPr>
      </w:pPr>
      <w:r w:rsidRPr="00AE33D8">
        <w:rPr>
          <w:rtl/>
        </w:rPr>
        <mc:AlternateContent>
          <mc:Choice Requires="wps">
            <w:drawing>
              <wp:anchor distT="0" distB="0" distL="114300" distR="114300" simplePos="0" relativeHeight="251660288" behindDoc="1" locked="0" layoutInCell="1" allowOverlap="1" wp14:anchorId="50AFFF5C" wp14:editId="3CB032AA">
                <wp:simplePos x="0" y="0"/>
                <wp:positionH relativeFrom="column">
                  <wp:posOffset>-120659</wp:posOffset>
                </wp:positionH>
                <wp:positionV relativeFrom="paragraph">
                  <wp:posOffset>170421</wp:posOffset>
                </wp:positionV>
                <wp:extent cx="5615189" cy="501650"/>
                <wp:effectExtent l="57150" t="38100" r="81280" b="88900"/>
                <wp:wrapNone/>
                <wp:docPr id="42" name="מלבן 2"/>
                <wp:cNvGraphicFramePr/>
                <a:graphic xmlns:a="http://schemas.openxmlformats.org/drawingml/2006/main">
                  <a:graphicData uri="http://schemas.microsoft.com/office/word/2010/wordprocessingShape">
                    <wps:wsp>
                      <wps:cNvSpPr/>
                      <wps:spPr>
                        <a:xfrm>
                          <a:off x="0" y="0"/>
                          <a:ext cx="5615189" cy="50165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C3F3C03" id="מלבן 2" o:spid="_x0000_s1026" style="position:absolute;left:0;text-align:left;margin-left:-9.5pt;margin-top:13.4pt;width:442.15pt;height:3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" fillcolor="#bcbcbc">
                <v:fill color2="#ededed" rotate="t" angle="180" colors="0 #bcbcbc;22938f #d0d0d0;1 #ededed" focus="100%" type="gradient"/>
                <v:shadow on="t" color="black" opacity="24903f" origin=",.5" offset="0,.55556mm"/>
              </v:rect>
            </w:pict>
          </mc:Fallback>
        </mc:AlternateContent>
      </w: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David" w:hAnsi="David"/>
          <w:b/>
          <w:bCs/>
          <w:noProof w:val="0"/>
        </w:rPr>
      </w:pPr>
      <w:r w:rsidRPr="00AE33D8">
        <w:rPr>
          <w:rFonts w:ascii="David" w:hAnsi="David"/>
          <w:b/>
          <w:bCs/>
          <w:noProof w:val="0"/>
          <w:rtl/>
        </w:rPr>
        <w:t>סיכומו של דבר – אני מוצאת לאמץ את קביעת חוות הדעת, שלפיה הנתבע משתכר 11,000 ₪ מעבודתו בחברה.</w:t>
      </w:r>
    </w:p>
    <w:p w:rsidR="00AE33D8" w:rsidRPr="00AE33D8" w:rsidRDefault="00AE33D8" w:rsidP="00AE33D8">
      <w:pPr>
        <w:autoSpaceDE w:val="0"/>
        <w:autoSpaceDN w:val="0"/>
        <w:adjustRightInd w:val="0"/>
        <w:spacing w:after="240" w:line="360" w:lineRule="auto"/>
        <w:contextualSpacing/>
        <w:jc w:val="both"/>
        <w:rPr>
          <w:rFonts w:ascii="David" w:hAnsi="David"/>
          <w:b/>
          <w:bCs/>
          <w:noProof w:val="0"/>
          <w:u w:val="single"/>
        </w:rPr>
      </w:pPr>
    </w:p>
    <w:p w:rsidR="00AE33D8" w:rsidRPr="00AE33D8" w:rsidRDefault="00AE33D8" w:rsidP="00AE33D8">
      <w:pPr>
        <w:autoSpaceDE w:val="0"/>
        <w:autoSpaceDN w:val="0"/>
        <w:adjustRightInd w:val="0"/>
        <w:spacing w:after="240" w:line="360" w:lineRule="auto"/>
        <w:contextualSpacing/>
        <w:jc w:val="both"/>
        <w:rPr>
          <w:rFonts w:ascii="Arial" w:hAnsi="Arial"/>
          <w:b/>
          <w:bCs/>
          <w:noProof w:val="0"/>
          <w:u w:val="single"/>
          <w:rtl/>
        </w:rPr>
      </w:pPr>
      <w:r w:rsidRPr="00AE33D8">
        <w:rPr>
          <w:rFonts w:ascii="Arial" w:hAnsi="Arial"/>
          <w:b/>
          <w:bCs/>
          <w:noProof w:val="0"/>
          <w:u w:val="single"/>
          <w:rtl/>
        </w:rPr>
        <w:lastRenderedPageBreak/>
        <w:t>הכנסת הנתבע מחלוקת דיבידנד בחברה</w:t>
      </w: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Arial" w:hAnsi="Arial"/>
          <w:noProof w:val="0"/>
          <w:rtl/>
        </w:rPr>
      </w:pPr>
      <w:r w:rsidRPr="00AE33D8">
        <w:rPr>
          <w:rFonts w:ascii="Arial" w:hAnsi="Arial"/>
          <w:noProof w:val="0"/>
          <w:rtl/>
        </w:rPr>
        <w:t xml:space="preserve">כעולה מחוות הדעת, הכנסתו החודשית של הנתבע מקבלת דיבידנד בחברה היא </w:t>
      </w:r>
      <w:r w:rsidRPr="00AE33D8">
        <w:rPr>
          <w:rFonts w:ascii="Arial" w:hAnsi="Arial"/>
          <w:b/>
          <w:bCs/>
          <w:noProof w:val="0"/>
          <w:rtl/>
        </w:rPr>
        <w:t>בסך של 8,280 ₪ נטו לחודש,</w:t>
      </w:r>
      <w:r w:rsidRPr="00AE33D8">
        <w:rPr>
          <w:rFonts w:ascii="Arial" w:hAnsi="Arial"/>
          <w:noProof w:val="0"/>
          <w:rtl/>
        </w:rPr>
        <w:t xml:space="preserve"> כפי שיפורט להלן.</w:t>
      </w:r>
    </w:p>
    <w:p w:rsidR="00AE33D8" w:rsidRPr="00AE33D8" w:rsidRDefault="00AE33D8" w:rsidP="00A04AFF">
      <w:pPr>
        <w:autoSpaceDE w:val="0"/>
        <w:autoSpaceDN w:val="0"/>
        <w:adjustRightInd w:val="0"/>
        <w:spacing w:after="240" w:line="360" w:lineRule="auto"/>
        <w:contextualSpacing/>
        <w:jc w:val="both"/>
        <w:rPr>
          <w:rFonts w:ascii="Arial" w:hAnsi="Arial"/>
          <w:noProof w:val="0"/>
        </w:rPr>
      </w:pP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בכרטסת הנהלת החשבונות של החברה, מצוינת יתרת חוב של הנתבע כלפי החברה בסך של </w:t>
      </w:r>
      <w:r w:rsidRPr="00AE33D8">
        <w:rPr>
          <w:rFonts w:ascii="Arial" w:hAnsi="Arial"/>
          <w:b/>
          <w:bCs/>
          <w:noProof w:val="0"/>
          <w:rtl/>
        </w:rPr>
        <w:t xml:space="preserve">298,094 ₪ </w:t>
      </w:r>
      <w:r w:rsidRPr="00AE33D8">
        <w:rPr>
          <w:rFonts w:ascii="Arial" w:hAnsi="Arial"/>
          <w:noProof w:val="0"/>
          <w:rtl/>
        </w:rPr>
        <w:t>בגין הלוואת בעלים (להלן- "</w:t>
      </w:r>
      <w:r w:rsidRPr="00AE33D8">
        <w:rPr>
          <w:rFonts w:ascii="Arial" w:hAnsi="Arial"/>
          <w:b/>
          <w:bCs/>
          <w:noProof w:val="0"/>
          <w:rtl/>
        </w:rPr>
        <w:t>משיכת דיבידנד</w:t>
      </w:r>
      <w:r w:rsidRPr="00AE33D8">
        <w:rPr>
          <w:rFonts w:ascii="Arial" w:hAnsi="Arial"/>
          <w:noProof w:val="0"/>
          <w:rtl/>
        </w:rPr>
        <w:t>").</w:t>
      </w:r>
    </w:p>
    <w:p w:rsidR="00AE33D8" w:rsidRPr="00AE33D8" w:rsidRDefault="00AE33D8" w:rsidP="00A04AFF">
      <w:pPr>
        <w:spacing w:after="120" w:line="276" w:lineRule="auto"/>
        <w:contextualSpacing/>
        <w:rPr>
          <w:rFonts w:ascii="Arial" w:hAnsi="Arial"/>
          <w:noProof w:val="0"/>
        </w:rPr>
      </w:pP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Arial" w:hAnsi="Arial"/>
          <w:noProof w:val="0"/>
          <w:rtl/>
        </w:rPr>
      </w:pPr>
      <w:r w:rsidRPr="00AE33D8">
        <w:rPr>
          <w:rFonts w:ascii="Arial" w:hAnsi="Arial"/>
          <w:noProof w:val="0"/>
          <w:rtl/>
        </w:rPr>
        <w:t xml:space="preserve">משיכת כספים מהחברה על ידי הנתבע, מהווה הלכה למעשה משיכת דיבידנד, וזאת נוכח הוראות סעיף 3(ט1) (1) וסעיף 88 לפקודת מס הכנסה [נוסח חדש] (להלן- </w:t>
      </w:r>
      <w:r w:rsidRPr="00AE33D8">
        <w:rPr>
          <w:rFonts w:ascii="Arial" w:hAnsi="Arial"/>
          <w:b/>
          <w:bCs/>
          <w:noProof w:val="0"/>
          <w:rtl/>
        </w:rPr>
        <w:t>"הפקודה"</w:t>
      </w:r>
      <w:r w:rsidRPr="00AE33D8">
        <w:rPr>
          <w:rFonts w:ascii="Arial" w:hAnsi="Arial"/>
          <w:noProof w:val="0"/>
          <w:rtl/>
        </w:rPr>
        <w:t>), שזו לשונם:</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color w:val="000000" w:themeColor="text1"/>
          <w:rtl/>
        </w:rPr>
      </w:pPr>
      <w:r w:rsidRPr="00AE33D8">
        <w:rPr>
          <w:rFonts w:ascii="Arial" w:hAnsi="Arial"/>
          <w:b/>
          <w:bCs/>
          <w:noProof w:val="0"/>
          <w:color w:val="000000" w:themeColor="text1"/>
          <w:rtl/>
        </w:rPr>
        <w:t xml:space="preserve">"(ט1) (1) בסעיף קטן זה – </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color w:val="000000" w:themeColor="text1"/>
          <w:rtl/>
        </w:rPr>
      </w:pPr>
      <w:r w:rsidRPr="00AE33D8">
        <w:rPr>
          <w:rFonts w:ascii="Arial" w:hAnsi="Arial"/>
          <w:b/>
          <w:bCs/>
          <w:noProof w:val="0"/>
          <w:color w:val="000000" w:themeColor="text1"/>
          <w:rtl/>
        </w:rPr>
        <w:t>"בעל מניות מהותי" – כהגדרתו בסעיף 88 למעט חברה שאינה תאגיד שקוף כהגדרתו בפסיקה (9).</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מועד החיוב" – אחד מאלה:</w:t>
      </w:r>
    </w:p>
    <w:p w:rsidR="00AE33D8" w:rsidRPr="00AE33D8" w:rsidRDefault="00AE33D8" w:rsidP="00A04AFF">
      <w:pPr>
        <w:numPr>
          <w:ilvl w:val="0"/>
          <w:numId w:val="13"/>
        </w:numPr>
        <w:autoSpaceDE w:val="0"/>
        <w:autoSpaceDN w:val="0"/>
        <w:adjustRightInd w:val="0"/>
        <w:spacing w:after="100" w:afterAutospacing="1" w:line="276" w:lineRule="auto"/>
        <w:ind w:left="1134" w:right="1134"/>
        <w:contextualSpacing/>
        <w:jc w:val="both"/>
        <w:rPr>
          <w:rFonts w:ascii="Arial" w:hAnsi="Arial"/>
          <w:b/>
          <w:bCs/>
          <w:noProof w:val="0"/>
          <w:rtl/>
        </w:rPr>
      </w:pPr>
      <w:r w:rsidRPr="00AE33D8">
        <w:rPr>
          <w:rFonts w:ascii="Arial" w:hAnsi="Arial"/>
          <w:b/>
          <w:bCs/>
          <w:noProof w:val="0"/>
          <w:rtl/>
        </w:rPr>
        <w:t>במשיכת כספים מחברה – בתום שנת המס שלאחר שנת המס שבה נמשכו;</w:t>
      </w:r>
    </w:p>
    <w:p w:rsidR="00AE33D8" w:rsidRPr="00AE33D8" w:rsidRDefault="00AE33D8" w:rsidP="00A04AFF">
      <w:pPr>
        <w:autoSpaceDE w:val="0"/>
        <w:autoSpaceDN w:val="0"/>
        <w:adjustRightInd w:val="0"/>
        <w:spacing w:after="100" w:afterAutospacing="1"/>
        <w:ind w:left="1134" w:right="1134"/>
        <w:contextualSpacing/>
        <w:jc w:val="both"/>
        <w:rPr>
          <w:rFonts w:ascii="Arial" w:hAnsi="Arial"/>
          <w:b/>
          <w:bCs/>
          <w:noProof w:val="0"/>
        </w:rPr>
      </w:pPr>
      <w:r w:rsidRPr="00AE33D8">
        <w:rPr>
          <w:rFonts w:ascii="Arial" w:hAnsi="Arial"/>
          <w:b/>
          <w:bCs/>
          <w:noProof w:val="0"/>
          <w:rtl/>
        </w:rPr>
        <w:t>....</w:t>
      </w:r>
    </w:p>
    <w:p w:rsidR="00AE33D8" w:rsidRPr="00AE33D8" w:rsidRDefault="00AE33D8" w:rsidP="00A04AFF">
      <w:pPr>
        <w:autoSpaceDE w:val="0"/>
        <w:autoSpaceDN w:val="0"/>
        <w:adjustRightInd w:val="0"/>
        <w:spacing w:after="100" w:afterAutospacing="1"/>
        <w:ind w:left="1134" w:right="1134"/>
        <w:jc w:val="both"/>
        <w:rPr>
          <w:rFonts w:ascii="Arial" w:hAnsi="Arial"/>
          <w:b/>
          <w:bCs/>
          <w:noProof w:val="0"/>
          <w:rtl/>
        </w:rPr>
      </w:pPr>
      <w:r w:rsidRPr="00AE33D8">
        <w:rPr>
          <w:rFonts w:ascii="Arial" w:hAnsi="Arial"/>
          <w:b/>
          <w:bCs/>
          <w:noProof w:val="0"/>
          <w:rtl/>
        </w:rPr>
        <w:t>"משיכה מחברה" משיכה של כספים מחברה על ידי בעל מניות מהותי או קרובו...</w:t>
      </w:r>
    </w:p>
    <w:p w:rsidR="00AE33D8" w:rsidRPr="00AE33D8" w:rsidRDefault="00AE33D8" w:rsidP="00A04AFF">
      <w:pPr>
        <w:autoSpaceDE w:val="0"/>
        <w:autoSpaceDN w:val="0"/>
        <w:adjustRightInd w:val="0"/>
        <w:spacing w:after="240"/>
        <w:ind w:left="1134" w:right="1134"/>
        <w:jc w:val="both"/>
        <w:rPr>
          <w:rFonts w:ascii="Arial" w:hAnsi="Arial"/>
          <w:b/>
          <w:bCs/>
          <w:noProof w:val="0"/>
          <w:rtl/>
        </w:rPr>
      </w:pPr>
      <w:r w:rsidRPr="00AE33D8">
        <w:rPr>
          <w:rFonts w:ascii="Arial" w:hAnsi="Arial"/>
          <w:b/>
          <w:bCs/>
          <w:noProof w:val="0"/>
          <w:rtl/>
        </w:rPr>
        <w:t>"קרוב" -  כהגדרתו בסעיף 88;</w:t>
      </w:r>
    </w:p>
    <w:p w:rsidR="00AE33D8" w:rsidRPr="00AE33D8" w:rsidRDefault="00AE33D8" w:rsidP="00A04AFF">
      <w:pPr>
        <w:numPr>
          <w:ilvl w:val="0"/>
          <w:numId w:val="13"/>
        </w:numPr>
        <w:autoSpaceDE w:val="0"/>
        <w:autoSpaceDN w:val="0"/>
        <w:adjustRightInd w:val="0"/>
        <w:spacing w:after="240" w:line="276" w:lineRule="auto"/>
        <w:ind w:left="1134" w:right="1134" w:hanging="1"/>
        <w:contextualSpacing/>
        <w:jc w:val="both"/>
        <w:rPr>
          <w:rFonts w:ascii="Arial" w:hAnsi="Arial"/>
          <w:b/>
          <w:bCs/>
          <w:noProof w:val="0"/>
          <w:rtl/>
        </w:rPr>
      </w:pPr>
      <w:r w:rsidRPr="00AE33D8">
        <w:rPr>
          <w:rFonts w:ascii="Arial" w:hAnsi="Arial"/>
          <w:b/>
          <w:bCs/>
          <w:noProof w:val="0"/>
          <w:rtl/>
        </w:rPr>
        <w:t>יראו משיכה מחברה, במועד החיוב, כהכנסתו של בעל המניות המהותי –</w:t>
      </w:r>
    </w:p>
    <w:p w:rsidR="00AE33D8" w:rsidRPr="00AE33D8" w:rsidRDefault="00AE33D8" w:rsidP="00A04AFF">
      <w:pPr>
        <w:numPr>
          <w:ilvl w:val="0"/>
          <w:numId w:val="14"/>
        </w:numPr>
        <w:autoSpaceDE w:val="0"/>
        <w:autoSpaceDN w:val="0"/>
        <w:adjustRightInd w:val="0"/>
        <w:spacing w:after="240" w:line="276" w:lineRule="auto"/>
        <w:ind w:left="1134" w:right="1134" w:hanging="1"/>
        <w:contextualSpacing/>
        <w:jc w:val="both"/>
        <w:rPr>
          <w:rFonts w:ascii="Arial" w:hAnsi="Arial"/>
          <w:b/>
          <w:bCs/>
          <w:noProof w:val="0"/>
        </w:rPr>
      </w:pPr>
      <w:r w:rsidRPr="00AE33D8">
        <w:rPr>
          <w:rFonts w:ascii="Arial" w:hAnsi="Arial"/>
          <w:b/>
          <w:bCs/>
          <w:noProof w:val="0"/>
          <w:rtl/>
        </w:rPr>
        <w:t>מדיבידנד, אם היו רווחים בחברה ובהתאם לחלקו בהם; לעניין זה, "רווחים" כהגדרתם בסעיף 302(ב) לחוק החברות"</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Pr>
      </w:pP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 xml:space="preserve">88. בחלק זה – </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"בעל מניות מהותי – מי שמחזיק, במישרין או בעקיפין, לבדו או יחד עם אחר, ב-10% לפחות באחד או יותר מסוג כלשהו של אמצעי השליטה בחבר-בני-אדם"</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w:t>
      </w:r>
    </w:p>
    <w:p w:rsidR="00AE33D8" w:rsidRPr="00AE33D8" w:rsidRDefault="00AE33D8" w:rsidP="00A04AFF">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"קרוב" – כל אחד מאלה:</w:t>
      </w:r>
    </w:p>
    <w:p w:rsidR="00AE33D8" w:rsidRPr="00AE33D8" w:rsidRDefault="00AE33D8" w:rsidP="00A04AFF">
      <w:pPr>
        <w:autoSpaceDE w:val="0"/>
        <w:autoSpaceDN w:val="0"/>
        <w:adjustRightInd w:val="0"/>
        <w:spacing w:after="240" w:line="360" w:lineRule="auto"/>
        <w:ind w:left="414" w:right="1134" w:firstLine="720"/>
        <w:contextualSpacing/>
        <w:jc w:val="both"/>
        <w:rPr>
          <w:rFonts w:ascii="Arial" w:hAnsi="Arial"/>
          <w:b/>
          <w:bCs/>
          <w:noProof w:val="0"/>
          <w:rtl/>
        </w:rPr>
      </w:pPr>
      <w:r w:rsidRPr="00AE33D8">
        <w:rPr>
          <w:rFonts w:ascii="Arial" w:hAnsi="Arial"/>
          <w:b/>
          <w:bCs/>
          <w:noProof w:val="0"/>
          <w:rtl/>
        </w:rPr>
        <w:t>...</w:t>
      </w:r>
    </w:p>
    <w:p w:rsidR="00AE33D8" w:rsidRPr="00AE33D8" w:rsidRDefault="00AE33D8" w:rsidP="00A04AFF">
      <w:pPr>
        <w:numPr>
          <w:ilvl w:val="0"/>
          <w:numId w:val="15"/>
        </w:numPr>
        <w:autoSpaceDE w:val="0"/>
        <w:autoSpaceDN w:val="0"/>
        <w:adjustRightInd w:val="0"/>
        <w:spacing w:after="240" w:line="360" w:lineRule="auto"/>
        <w:ind w:right="1134" w:firstLine="347"/>
        <w:contextualSpacing/>
        <w:jc w:val="both"/>
        <w:rPr>
          <w:rFonts w:ascii="Arial" w:hAnsi="Arial"/>
          <w:b/>
          <w:bCs/>
          <w:noProof w:val="0"/>
          <w:rtl/>
        </w:rPr>
      </w:pPr>
      <w:r w:rsidRPr="00AE33D8">
        <w:rPr>
          <w:rFonts w:ascii="Arial" w:hAnsi="Arial"/>
          <w:b/>
          <w:bCs/>
          <w:noProof w:val="0"/>
          <w:rtl/>
        </w:rPr>
        <w:t>צאצא של אח או אחות, ואח או אחות של הורה"</w:t>
      </w:r>
    </w:p>
    <w:p w:rsidR="00AE33D8" w:rsidRPr="00AE33D8" w:rsidRDefault="00AE33D8" w:rsidP="00AE33D8">
      <w:pPr>
        <w:autoSpaceDE w:val="0"/>
        <w:autoSpaceDN w:val="0"/>
        <w:adjustRightInd w:val="0"/>
        <w:spacing w:after="240" w:line="360" w:lineRule="auto"/>
        <w:ind w:left="720"/>
        <w:contextualSpacing/>
        <w:jc w:val="both"/>
        <w:rPr>
          <w:rFonts w:ascii="Arial" w:hAnsi="Arial"/>
          <w:b/>
          <w:bCs/>
          <w:noProof w:val="0"/>
        </w:rPr>
      </w:pPr>
    </w:p>
    <w:p w:rsidR="00AE33D8" w:rsidRPr="00AE33D8" w:rsidRDefault="00AE33D8" w:rsidP="00A04AFF">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חרף הוראות סעיף 3(ט1)(1) לפקודה, לא הצהיר הנתבע בדוחותיו לשנת 2018, על קבלתו דיבידנד בסך של 298,094 ₪ (סכום הלוואת הבעלים שנטל מהחברה, שלפי הוראת הפקודה שלעיל מוגדרת כדיבידנד).</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Pr>
      </w:pPr>
      <w:r w:rsidRPr="00AE33D8">
        <w:rPr>
          <w:rFonts w:ascii="Arial" w:hAnsi="Arial"/>
          <w:noProof w:val="0"/>
          <w:rtl/>
        </w:rPr>
        <w:lastRenderedPageBreak/>
        <w:t>התקופה שחושבה לצורך פריסתו החודשית של הדיבידנד היא בת 36 חודשים - מיום 1.1.2016, יום תחילת הצבירה על שם הנתבע (כעולה מכרטסת הנהלת החשבונות) ועד ליום 31.12.2018, המועד שבו נדרש היה הנתבע להצהיר בדוחותיו על משיכת הכספים/קבלת הדיבידנד. נתונים אלה מביאים לשיעור הכנסתו החודשית של הנתבע בגין קבלת הדיבידנד בסך של 8,280.39 ₪ לחודש.</w:t>
      </w:r>
    </w:p>
    <w:p w:rsidR="00AE33D8" w:rsidRPr="00AE33D8" w:rsidRDefault="00AE33D8" w:rsidP="00AE33D8">
      <w:pPr>
        <w:autoSpaceDE w:val="0"/>
        <w:autoSpaceDN w:val="0"/>
        <w:adjustRightInd w:val="0"/>
        <w:spacing w:after="120" w:line="360" w:lineRule="auto"/>
        <w:contextualSpacing/>
        <w:jc w:val="both"/>
        <w:rPr>
          <w:rFonts w:ascii="Arial" w:hAnsi="Arial"/>
          <w:noProof w:val="0"/>
          <w:rtl/>
        </w:rPr>
      </w:pPr>
    </w:p>
    <w:p w:rsidR="00AE33D8" w:rsidRPr="00AE33D8" w:rsidRDefault="00AE33D8" w:rsidP="00A04AFF">
      <w:pPr>
        <w:numPr>
          <w:ilvl w:val="0"/>
          <w:numId w:val="11"/>
        </w:numPr>
        <w:autoSpaceDE w:val="0"/>
        <w:autoSpaceDN w:val="0"/>
        <w:adjustRightInd w:val="0"/>
        <w:spacing w:after="240" w:line="360" w:lineRule="auto"/>
        <w:ind w:left="-1" w:firstLine="1"/>
        <w:contextualSpacing/>
        <w:jc w:val="both"/>
        <w:rPr>
          <w:rFonts w:ascii="Arial" w:hAnsi="Arial"/>
          <w:noProof w:val="0"/>
        </w:rPr>
      </w:pPr>
      <w:r w:rsidRPr="00AE33D8">
        <w:rPr>
          <w:rFonts w:ascii="Arial" w:hAnsi="Arial"/>
          <w:noProof w:val="0"/>
          <w:rtl/>
        </w:rPr>
        <w:t xml:space="preserve">הנתבע טען כי הוא היה רשאי למשוך, על דעת עצמו, כל סכום כראות עיניו ומכאן הנחתו של המומחה אשר למשיכת הדיבידנד שגויה היא. לא מצאתי לקבל טענה זו של הנתבע. קביעת חוות הדעת בעניין זה, אינה בגדר פרשנות משפטית או חשבונאית, אלא יישום הוראות הדין. לפי הוראות הפקודה, הנתבע הוא "קרוב" של "בעל מניות מהותי", קרי דודתו ז"ל האוחזת ב-100% ממניות החברה, והנתבע כאמור ביצע "משיכה מהחברה". </w:t>
      </w:r>
    </w:p>
    <w:p w:rsidR="00AE33D8" w:rsidRPr="00AE33D8" w:rsidRDefault="00AE33D8" w:rsidP="00A04AFF">
      <w:pPr>
        <w:autoSpaceDE w:val="0"/>
        <w:autoSpaceDN w:val="0"/>
        <w:adjustRightInd w:val="0"/>
        <w:spacing w:after="240" w:line="360" w:lineRule="auto"/>
        <w:ind w:left="-1" w:firstLine="1"/>
        <w:contextualSpacing/>
        <w:jc w:val="both"/>
        <w:rPr>
          <w:rFonts w:ascii="Arial" w:hAnsi="Arial"/>
          <w:noProof w:val="0"/>
        </w:rPr>
      </w:pPr>
    </w:p>
    <w:p w:rsidR="00AE33D8" w:rsidRPr="00AE33D8" w:rsidRDefault="00AE33D8" w:rsidP="00A04AFF">
      <w:pPr>
        <w:numPr>
          <w:ilvl w:val="0"/>
          <w:numId w:val="11"/>
        </w:numPr>
        <w:autoSpaceDE w:val="0"/>
        <w:autoSpaceDN w:val="0"/>
        <w:adjustRightInd w:val="0"/>
        <w:spacing w:after="240" w:line="360" w:lineRule="auto"/>
        <w:ind w:left="-1" w:firstLine="1"/>
        <w:contextualSpacing/>
        <w:jc w:val="both"/>
        <w:rPr>
          <w:rFonts w:ascii="Arial" w:hAnsi="Arial"/>
          <w:noProof w:val="0"/>
        </w:rPr>
      </w:pPr>
      <w:r w:rsidRPr="00AE33D8">
        <w:rPr>
          <w:rFonts w:ascii="Arial" w:hAnsi="Arial"/>
          <w:noProof w:val="0"/>
          <w:rtl/>
        </w:rPr>
        <w:t>כך גם, אין הלימה בין הכחשת הנתבע לבין ממצאי חוות הדעת על אודות היותו "ה"רוח החיה" בחברה. עדותו שלפיה הוא מונה ליושב ראש החברה, חבר דירקטוריון בחברה, מנהל בחברה, העובד היחיד בה, מורשה חתימה בה והיותו ערב אישית בסכום של 17,000,000 ₪ על פרויקט של החברה, מתכתבת כאמור עם ממצאי חוות הדעת.</w:t>
      </w:r>
    </w:p>
    <w:p w:rsidR="00AE33D8" w:rsidRPr="00AE33D8" w:rsidRDefault="00866529" w:rsidP="00A04AFF">
      <w:pPr>
        <w:autoSpaceDE w:val="0"/>
        <w:autoSpaceDN w:val="0"/>
        <w:adjustRightInd w:val="0"/>
        <w:spacing w:after="240" w:line="360" w:lineRule="auto"/>
        <w:ind w:left="720" w:firstLine="1"/>
        <w:contextualSpacing/>
        <w:jc w:val="both"/>
        <w:rPr>
          <w:rFonts w:ascii="Arial" w:hAnsi="Arial"/>
          <w:noProof w:val="0"/>
        </w:rPr>
      </w:pPr>
      <w:r w:rsidRPr="00AE33D8">
        <mc:AlternateContent>
          <mc:Choice Requires="wps">
            <w:drawing>
              <wp:anchor distT="0" distB="0" distL="114300" distR="114300" simplePos="0" relativeHeight="251661312" behindDoc="1" locked="0" layoutInCell="1" allowOverlap="1" wp14:anchorId="0AE449B6" wp14:editId="114F7E2C">
                <wp:simplePos x="0" y="0"/>
                <wp:positionH relativeFrom="column">
                  <wp:posOffset>-56264</wp:posOffset>
                </wp:positionH>
                <wp:positionV relativeFrom="paragraph">
                  <wp:posOffset>169947</wp:posOffset>
                </wp:positionV>
                <wp:extent cx="5486400" cy="579120"/>
                <wp:effectExtent l="57150" t="38100" r="76200" b="87630"/>
                <wp:wrapNone/>
                <wp:docPr id="41" name="מלבן 3"/>
                <wp:cNvGraphicFramePr/>
                <a:graphic xmlns:a="http://schemas.openxmlformats.org/drawingml/2006/main">
                  <a:graphicData uri="http://schemas.microsoft.com/office/word/2010/wordprocessingShape">
                    <wps:wsp>
                      <wps:cNvSpPr/>
                      <wps:spPr>
                        <a:xfrm>
                          <a:off x="0" y="0"/>
                          <a:ext cx="5486400" cy="57912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21E075" id="מלבן 3" o:spid="_x0000_s1026" style="position:absolute;left:0;text-align:left;margin-left:-4.45pt;margin-top:13.4pt;width:6in;height:4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" fillcolor="#bcbcbc">
                <v:fill color2="#ededed" rotate="t" angle="180" colors="0 #bcbcbc;22938f #d0d0d0;1 #ededed" focus="100%" type="gradient"/>
                <v:shadow on="t" color="black" opacity="24903f" origin=",.5" offset="0,.55556mm"/>
              </v:rect>
            </w:pict>
          </mc:Fallback>
        </mc:AlternateContent>
      </w: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Arial" w:hAnsi="Arial"/>
          <w:b/>
          <w:bCs/>
          <w:noProof w:val="0"/>
        </w:rPr>
      </w:pPr>
      <w:r w:rsidRPr="00AE33D8">
        <w:rPr>
          <w:rFonts w:ascii="Arial" w:hAnsi="Arial"/>
          <w:b/>
          <w:bCs/>
          <w:noProof w:val="0"/>
          <w:rtl/>
        </w:rPr>
        <w:t>סיכומו של דבר -אני מאמצת את קביעת חוות הדעת, שלפיה הכנסתו החודשית של הנתבע מהדיבידנד עבור החברה הוא בסך של 8,280 ₪ נטו לחודש.</w:t>
      </w:r>
    </w:p>
    <w:p w:rsidR="00AE33D8" w:rsidRPr="00AE33D8" w:rsidRDefault="00AE33D8" w:rsidP="00AE33D8">
      <w:pPr>
        <w:autoSpaceDE w:val="0"/>
        <w:autoSpaceDN w:val="0"/>
        <w:adjustRightInd w:val="0"/>
        <w:spacing w:after="240" w:line="360" w:lineRule="auto"/>
        <w:contextualSpacing/>
        <w:jc w:val="both"/>
        <w:rPr>
          <w:rFonts w:ascii="David" w:hAnsi="David"/>
          <w:b/>
          <w:bCs/>
          <w:noProof w:val="0"/>
        </w:rPr>
      </w:pPr>
    </w:p>
    <w:p w:rsidR="00AE33D8" w:rsidRPr="00AE33D8" w:rsidRDefault="00AE33D8" w:rsidP="00866529">
      <w:pPr>
        <w:autoSpaceDE w:val="0"/>
        <w:autoSpaceDN w:val="0"/>
        <w:adjustRightInd w:val="0"/>
        <w:spacing w:after="240"/>
        <w:contextualSpacing/>
        <w:jc w:val="both"/>
        <w:rPr>
          <w:rFonts w:ascii="David" w:hAnsi="David"/>
          <w:b/>
          <w:bCs/>
          <w:noProof w:val="0"/>
          <w:rtl/>
        </w:rPr>
      </w:pPr>
    </w:p>
    <w:p w:rsidR="00AE33D8" w:rsidRPr="00AE33D8" w:rsidRDefault="00AE33D8" w:rsidP="00AE33D8">
      <w:pPr>
        <w:autoSpaceDE w:val="0"/>
        <w:autoSpaceDN w:val="0"/>
        <w:adjustRightInd w:val="0"/>
        <w:spacing w:after="240" w:line="360" w:lineRule="auto"/>
        <w:contextualSpacing/>
        <w:jc w:val="both"/>
        <w:rPr>
          <w:rFonts w:ascii="David" w:hAnsi="David"/>
          <w:b/>
          <w:bCs/>
          <w:noProof w:val="0"/>
          <w:u w:val="single"/>
          <w:rtl/>
        </w:rPr>
      </w:pPr>
      <w:r w:rsidRPr="00AE33D8">
        <w:rPr>
          <w:rFonts w:ascii="David" w:hAnsi="David"/>
          <w:b/>
          <w:bCs/>
          <w:noProof w:val="0"/>
          <w:u w:val="single"/>
          <w:rtl/>
        </w:rPr>
        <w:t>הכנסת הנתבע משכר ראוי בגין עבודתו בחברות</w:t>
      </w:r>
    </w:p>
    <w:p w:rsidR="00AE33D8" w:rsidRPr="00AE33D8" w:rsidRDefault="00AE33D8" w:rsidP="00AE33D8">
      <w:pPr>
        <w:autoSpaceDE w:val="0"/>
        <w:autoSpaceDN w:val="0"/>
        <w:adjustRightInd w:val="0"/>
        <w:spacing w:after="240" w:line="360" w:lineRule="auto"/>
        <w:contextualSpacing/>
        <w:jc w:val="both"/>
        <w:rPr>
          <w:rFonts w:ascii="David" w:hAnsi="David"/>
          <w:b/>
          <w:bCs/>
          <w:noProof w:val="0"/>
          <w:rtl/>
        </w:rPr>
      </w:pP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David" w:hAnsi="David"/>
          <w:noProof w:val="0"/>
        </w:rPr>
      </w:pPr>
      <w:r w:rsidRPr="00AE33D8">
        <w:rPr>
          <w:rFonts w:ascii="David" w:hAnsi="David"/>
          <w:noProof w:val="0"/>
          <w:rtl/>
        </w:rPr>
        <w:t>בחוות הדעת נמצא, כי הנתבע הוא בעל שליטה ותפקיד בכל אחת מהחברות שלהלן:</w:t>
      </w:r>
    </w:p>
    <w:p w:rsidR="00AE33D8" w:rsidRPr="00AE33D8" w:rsidRDefault="00AE33D8" w:rsidP="004309DA">
      <w:pPr>
        <w:numPr>
          <w:ilvl w:val="0"/>
          <w:numId w:val="16"/>
        </w:numPr>
        <w:autoSpaceDE w:val="0"/>
        <w:autoSpaceDN w:val="0"/>
        <w:adjustRightInd w:val="0"/>
        <w:spacing w:after="240" w:line="360" w:lineRule="auto"/>
        <w:ind w:left="1133" w:hanging="283"/>
        <w:contextualSpacing/>
        <w:jc w:val="both"/>
        <w:rPr>
          <w:rFonts w:ascii="David" w:hAnsi="David"/>
          <w:noProof w:val="0"/>
        </w:rPr>
      </w:pPr>
      <w:r w:rsidRPr="00AE33D8">
        <w:rPr>
          <w:rFonts w:ascii="David" w:hAnsi="David"/>
          <w:b/>
          <w:bCs/>
          <w:noProof w:val="0"/>
          <w:rtl/>
        </w:rPr>
        <w:t xml:space="preserve">חברת </w:t>
      </w:r>
      <w:r w:rsidR="004309DA">
        <w:rPr>
          <w:rFonts w:ascii="David" w:hAnsi="David" w:hint="cs"/>
          <w:b/>
          <w:bCs/>
          <w:noProof w:val="0"/>
        </w:rPr>
        <w:t>T</w:t>
      </w:r>
      <w:r w:rsidR="006E4076">
        <w:rPr>
          <w:rFonts w:ascii="David" w:hAnsi="David"/>
          <w:b/>
          <w:bCs/>
          <w:noProof w:val="0"/>
        </w:rPr>
        <w:t>T</w:t>
      </w:r>
      <w:r w:rsidR="004309DA">
        <w:rPr>
          <w:rFonts w:ascii="David" w:hAnsi="David" w:hint="cs"/>
          <w:b/>
          <w:bCs/>
          <w:noProof w:val="0"/>
        </w:rPr>
        <w:t>T</w:t>
      </w:r>
      <w:r w:rsidRPr="00AE33D8">
        <w:rPr>
          <w:rFonts w:ascii="David" w:hAnsi="David"/>
          <w:b/>
          <w:bCs/>
          <w:noProof w:val="0"/>
          <w:rtl/>
        </w:rPr>
        <w:t xml:space="preserve"> </w:t>
      </w:r>
      <w:r w:rsidR="004309DA">
        <w:rPr>
          <w:rFonts w:ascii="David" w:hAnsi="David" w:hint="cs"/>
          <w:b/>
          <w:bCs/>
          <w:noProof w:val="0"/>
          <w:rtl/>
        </w:rPr>
        <w:t>...</w:t>
      </w:r>
      <w:r w:rsidRPr="00AE33D8">
        <w:rPr>
          <w:rFonts w:ascii="David" w:hAnsi="David"/>
          <w:b/>
          <w:bCs/>
          <w:noProof w:val="0"/>
          <w:rtl/>
        </w:rPr>
        <w:t xml:space="preserve"> בע"מ</w:t>
      </w:r>
      <w:r w:rsidRPr="00AE33D8">
        <w:rPr>
          <w:rFonts w:ascii="David" w:hAnsi="David"/>
          <w:noProof w:val="0"/>
          <w:rtl/>
        </w:rPr>
        <w:t xml:space="preserve"> – הנתבע מחזיק ב- 100% ממניותיה (להלן- "</w:t>
      </w:r>
      <w:r w:rsidRPr="00AE33D8">
        <w:rPr>
          <w:rFonts w:ascii="David" w:hAnsi="David"/>
          <w:b/>
          <w:bCs/>
          <w:noProof w:val="0"/>
          <w:rtl/>
        </w:rPr>
        <w:t xml:space="preserve">חברת </w:t>
      </w:r>
      <w:r w:rsidR="004309DA">
        <w:rPr>
          <w:rFonts w:ascii="David" w:hAnsi="David" w:hint="cs"/>
          <w:b/>
          <w:bCs/>
          <w:noProof w:val="0"/>
        </w:rPr>
        <w:t>TTT</w:t>
      </w:r>
      <w:r w:rsidRPr="00AE33D8">
        <w:rPr>
          <w:rFonts w:ascii="David" w:hAnsi="David"/>
          <w:noProof w:val="0"/>
          <w:rtl/>
        </w:rPr>
        <w:t>").</w:t>
      </w:r>
    </w:p>
    <w:p w:rsidR="00AE33D8" w:rsidRPr="00AE33D8" w:rsidRDefault="00AE33D8" w:rsidP="00E400B2">
      <w:pPr>
        <w:numPr>
          <w:ilvl w:val="0"/>
          <w:numId w:val="16"/>
        </w:numPr>
        <w:autoSpaceDE w:val="0"/>
        <w:autoSpaceDN w:val="0"/>
        <w:adjustRightInd w:val="0"/>
        <w:spacing w:after="240" w:line="360" w:lineRule="auto"/>
        <w:ind w:left="1133" w:hanging="283"/>
        <w:contextualSpacing/>
        <w:jc w:val="both"/>
        <w:rPr>
          <w:rFonts w:ascii="David" w:hAnsi="David"/>
          <w:noProof w:val="0"/>
        </w:rPr>
      </w:pPr>
      <w:r w:rsidRPr="00AE33D8">
        <w:rPr>
          <w:rFonts w:ascii="David" w:hAnsi="David"/>
          <w:b/>
          <w:bCs/>
          <w:noProof w:val="0"/>
          <w:rtl/>
        </w:rPr>
        <w:t>חברת "</w:t>
      </w:r>
      <w:r w:rsidR="004309DA">
        <w:rPr>
          <w:rFonts w:ascii="David" w:hAnsi="David" w:hint="cs"/>
          <w:b/>
          <w:bCs/>
          <w:noProof w:val="0"/>
        </w:rPr>
        <w:t>HHH</w:t>
      </w:r>
      <w:r w:rsidR="004309DA">
        <w:rPr>
          <w:rFonts w:ascii="David" w:hAnsi="David" w:hint="cs"/>
          <w:b/>
          <w:bCs/>
          <w:noProof w:val="0"/>
          <w:rtl/>
        </w:rPr>
        <w:t>...</w:t>
      </w:r>
      <w:r w:rsidRPr="00AE33D8">
        <w:rPr>
          <w:rFonts w:ascii="David" w:hAnsi="David"/>
          <w:b/>
          <w:bCs/>
          <w:noProof w:val="0"/>
          <w:rtl/>
        </w:rPr>
        <w:t xml:space="preserve"> בע"מ</w:t>
      </w:r>
      <w:r w:rsidRPr="00AE33D8">
        <w:rPr>
          <w:rFonts w:ascii="David" w:hAnsi="David"/>
          <w:noProof w:val="0"/>
          <w:rtl/>
        </w:rPr>
        <w:t xml:space="preserve">" – הנתבע בעל שליטה בחברה זו באמצעות חברת </w:t>
      </w:r>
      <w:r w:rsidR="00E400B2">
        <w:rPr>
          <w:rFonts w:ascii="David" w:hAnsi="David" w:hint="cs"/>
          <w:noProof w:val="0"/>
        </w:rPr>
        <w:t>TTT</w:t>
      </w:r>
      <w:r w:rsidRPr="00AE33D8">
        <w:rPr>
          <w:rFonts w:ascii="David" w:hAnsi="David"/>
          <w:noProof w:val="0"/>
          <w:rtl/>
        </w:rPr>
        <w:t>, המחזיקה ב-12.8% ממניותיה (להלן- "</w:t>
      </w:r>
      <w:r w:rsidRPr="00AE33D8">
        <w:rPr>
          <w:rFonts w:ascii="David" w:hAnsi="David"/>
          <w:b/>
          <w:bCs/>
          <w:noProof w:val="0"/>
          <w:rtl/>
        </w:rPr>
        <w:t xml:space="preserve">חברת </w:t>
      </w:r>
      <w:r w:rsidR="004309DA">
        <w:rPr>
          <w:rFonts w:ascii="David" w:hAnsi="David" w:hint="cs"/>
          <w:b/>
          <w:bCs/>
          <w:noProof w:val="0"/>
        </w:rPr>
        <w:t>HHH</w:t>
      </w:r>
      <w:r w:rsidRPr="00AE33D8">
        <w:rPr>
          <w:rFonts w:ascii="David" w:hAnsi="David"/>
          <w:noProof w:val="0"/>
          <w:rtl/>
        </w:rPr>
        <w:t>").</w:t>
      </w:r>
    </w:p>
    <w:p w:rsidR="00AE33D8" w:rsidRPr="00AE33D8" w:rsidRDefault="00AE33D8" w:rsidP="00E400B2">
      <w:pPr>
        <w:numPr>
          <w:ilvl w:val="0"/>
          <w:numId w:val="16"/>
        </w:numPr>
        <w:autoSpaceDE w:val="0"/>
        <w:autoSpaceDN w:val="0"/>
        <w:adjustRightInd w:val="0"/>
        <w:spacing w:after="240" w:line="360" w:lineRule="auto"/>
        <w:ind w:left="1133" w:hanging="283"/>
        <w:contextualSpacing/>
        <w:jc w:val="both"/>
        <w:rPr>
          <w:rFonts w:ascii="David" w:hAnsi="David"/>
          <w:noProof w:val="0"/>
        </w:rPr>
      </w:pPr>
      <w:r w:rsidRPr="00AE33D8">
        <w:rPr>
          <w:rFonts w:ascii="David" w:hAnsi="David"/>
          <w:b/>
          <w:bCs/>
          <w:noProof w:val="0"/>
          <w:rtl/>
        </w:rPr>
        <w:t>חברת "</w:t>
      </w:r>
      <w:r w:rsidR="004309DA">
        <w:rPr>
          <w:rFonts w:ascii="David" w:hAnsi="David" w:hint="cs"/>
          <w:b/>
          <w:bCs/>
          <w:noProof w:val="0"/>
        </w:rPr>
        <w:t>SSS</w:t>
      </w:r>
      <w:r w:rsidR="004309DA">
        <w:rPr>
          <w:rFonts w:ascii="David" w:hAnsi="David" w:hint="cs"/>
          <w:b/>
          <w:bCs/>
          <w:noProof w:val="0"/>
          <w:rtl/>
        </w:rPr>
        <w:t>...</w:t>
      </w:r>
      <w:r w:rsidRPr="00AE33D8">
        <w:rPr>
          <w:rFonts w:ascii="David" w:hAnsi="David"/>
          <w:b/>
          <w:bCs/>
          <w:noProof w:val="0"/>
          <w:rtl/>
        </w:rPr>
        <w:t xml:space="preserve"> בע"מ"</w:t>
      </w:r>
      <w:r w:rsidRPr="00AE33D8">
        <w:rPr>
          <w:rFonts w:ascii="David" w:hAnsi="David"/>
          <w:noProof w:val="0"/>
          <w:rtl/>
        </w:rPr>
        <w:t xml:space="preserve"> (להלן- "</w:t>
      </w:r>
      <w:r w:rsidRPr="00AE33D8">
        <w:rPr>
          <w:rFonts w:ascii="David" w:hAnsi="David"/>
          <w:b/>
          <w:bCs/>
          <w:noProof w:val="0"/>
          <w:rtl/>
        </w:rPr>
        <w:t xml:space="preserve">חברת </w:t>
      </w:r>
      <w:r w:rsidR="004309DA">
        <w:rPr>
          <w:rFonts w:ascii="David" w:hAnsi="David" w:hint="cs"/>
          <w:b/>
          <w:bCs/>
          <w:noProof w:val="0"/>
        </w:rPr>
        <w:t>SSS</w:t>
      </w:r>
      <w:r w:rsidRPr="00AE33D8">
        <w:rPr>
          <w:rFonts w:ascii="David" w:hAnsi="David"/>
          <w:noProof w:val="0"/>
          <w:rtl/>
        </w:rPr>
        <w:t xml:space="preserve">") – הנתבע בעל שליטה בחברה זו באמצעות חברת </w:t>
      </w:r>
      <w:r w:rsidR="00E400B2">
        <w:rPr>
          <w:rFonts w:ascii="David" w:hAnsi="David" w:hint="cs"/>
          <w:noProof w:val="0"/>
        </w:rPr>
        <w:t>TTT</w:t>
      </w:r>
      <w:r w:rsidRPr="00AE33D8">
        <w:rPr>
          <w:rFonts w:ascii="David" w:hAnsi="David"/>
          <w:noProof w:val="0"/>
          <w:rtl/>
        </w:rPr>
        <w:t>, המחזיקה ב-30% ממניותיה.</w:t>
      </w:r>
    </w:p>
    <w:p w:rsidR="00AE33D8" w:rsidRPr="00AE33D8" w:rsidRDefault="00AE33D8" w:rsidP="00434AE3">
      <w:pPr>
        <w:autoSpaceDE w:val="0"/>
        <w:autoSpaceDN w:val="0"/>
        <w:adjustRightInd w:val="0"/>
        <w:spacing w:after="240" w:line="360" w:lineRule="auto"/>
        <w:ind w:left="6480" w:firstLine="40"/>
        <w:contextualSpacing/>
        <w:jc w:val="both"/>
        <w:rPr>
          <w:rFonts w:ascii="David" w:hAnsi="David"/>
          <w:noProof w:val="0"/>
        </w:rPr>
      </w:pPr>
      <w:r w:rsidRPr="00AE33D8">
        <w:rPr>
          <w:rFonts w:ascii="David" w:hAnsi="David"/>
          <w:noProof w:val="0"/>
          <w:rtl/>
        </w:rPr>
        <w:t xml:space="preserve">(להלן: </w:t>
      </w:r>
      <w:r w:rsidRPr="00AE33D8">
        <w:rPr>
          <w:rFonts w:ascii="David" w:hAnsi="David"/>
          <w:b/>
          <w:bCs/>
          <w:noProof w:val="0"/>
          <w:rtl/>
        </w:rPr>
        <w:t>"החברות"</w:t>
      </w:r>
      <w:r w:rsidRPr="00AE33D8">
        <w:rPr>
          <w:rFonts w:ascii="David" w:hAnsi="David"/>
          <w:noProof w:val="0"/>
          <w:rtl/>
        </w:rPr>
        <w:t>)</w:t>
      </w:r>
    </w:p>
    <w:p w:rsidR="004309DA" w:rsidRDefault="004309DA" w:rsidP="00AE33D8">
      <w:pPr>
        <w:autoSpaceDE w:val="0"/>
        <w:autoSpaceDN w:val="0"/>
        <w:adjustRightInd w:val="0"/>
        <w:spacing w:after="240" w:line="360" w:lineRule="auto"/>
        <w:ind w:left="708"/>
        <w:jc w:val="both"/>
        <w:rPr>
          <w:rFonts w:ascii="David" w:hAnsi="David"/>
          <w:noProof w:val="0"/>
          <w:rtl/>
        </w:rPr>
      </w:pPr>
    </w:p>
    <w:p w:rsidR="00AE33D8" w:rsidRDefault="00AE33D8" w:rsidP="00AE33D8">
      <w:pPr>
        <w:autoSpaceDE w:val="0"/>
        <w:autoSpaceDN w:val="0"/>
        <w:adjustRightInd w:val="0"/>
        <w:spacing w:after="240" w:line="360" w:lineRule="auto"/>
        <w:ind w:left="708"/>
        <w:jc w:val="both"/>
        <w:rPr>
          <w:rFonts w:ascii="David" w:hAnsi="David"/>
          <w:noProof w:val="0"/>
          <w:rtl/>
        </w:rPr>
      </w:pPr>
      <w:r w:rsidRPr="00AE33D8">
        <w:rPr>
          <w:rFonts w:ascii="David" w:hAnsi="David"/>
          <w:noProof w:val="0"/>
          <w:rtl/>
        </w:rPr>
        <w:t>לשם הנוחות, להלן תרשים עץ אחזקות של החברות:</w:t>
      </w:r>
    </w:p>
    <w:p w:rsidR="004309DA" w:rsidRPr="00AE33D8" w:rsidRDefault="004309DA" w:rsidP="00AE33D8">
      <w:pPr>
        <w:autoSpaceDE w:val="0"/>
        <w:autoSpaceDN w:val="0"/>
        <w:adjustRightInd w:val="0"/>
        <w:spacing w:after="240" w:line="360" w:lineRule="auto"/>
        <w:ind w:left="708"/>
        <w:jc w:val="both"/>
        <w:rPr>
          <w:rFonts w:ascii="David" w:hAnsi="David"/>
          <w:noProof w:val="0"/>
        </w:rPr>
      </w:pPr>
      <w:r>
        <w:rPr>
          <w:rFonts w:ascii="David" w:hAnsi="David" w:hint="cs"/>
          <w:noProof w:val="0"/>
          <w:rtl/>
        </w:rPr>
        <w:t>[הוסר]</w:t>
      </w: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David" w:hAnsi="David"/>
          <w:noProof w:val="0"/>
        </w:rPr>
      </w:pPr>
      <w:r w:rsidRPr="00AE33D8">
        <w:rPr>
          <w:rFonts w:ascii="David" w:hAnsi="David"/>
          <w:noProof w:val="0"/>
          <w:rtl/>
        </w:rPr>
        <w:lastRenderedPageBreak/>
        <w:t>הנתבע כאמור, הוא דירקטור ובעל תפקיד בכל אחת מן החברות. הנה כי כן, לפי סעיף 88 לפקודה הנתבע הוא בעל מניות מהותי.</w:t>
      </w:r>
    </w:p>
    <w:p w:rsidR="00AE33D8" w:rsidRPr="00AE33D8" w:rsidRDefault="00AE33D8" w:rsidP="00866529">
      <w:pPr>
        <w:autoSpaceDE w:val="0"/>
        <w:autoSpaceDN w:val="0"/>
        <w:adjustRightInd w:val="0"/>
        <w:spacing w:after="240" w:line="360" w:lineRule="auto"/>
        <w:contextualSpacing/>
        <w:jc w:val="both"/>
        <w:rPr>
          <w:rFonts w:ascii="David" w:hAnsi="David"/>
          <w:noProof w:val="0"/>
        </w:rPr>
      </w:pP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David" w:hAnsi="David"/>
          <w:noProof w:val="0"/>
          <w:rtl/>
        </w:rPr>
        <w:t xml:space="preserve">לטענת הנתבע הוא אינו מקבל שכר מהחברות. חרף האמור, המומחה העריך שכר ראוי בגין עבודת הנתבע בחברות בשיעור של 15% מהיקף ההכנסות של החברות (להלן- </w:t>
      </w:r>
      <w:r w:rsidRPr="00AE33D8">
        <w:rPr>
          <w:rFonts w:ascii="David" w:hAnsi="David"/>
          <w:b/>
          <w:bCs/>
          <w:noProof w:val="0"/>
          <w:rtl/>
        </w:rPr>
        <w:t>"שכר ראוי"</w:t>
      </w:r>
      <w:r w:rsidRPr="00AE33D8">
        <w:rPr>
          <w:rFonts w:ascii="David" w:hAnsi="David"/>
          <w:noProof w:val="0"/>
          <w:rtl/>
        </w:rPr>
        <w:t xml:space="preserve">) (ראו-סעיף 3 בעמ' 24 לחוות הדעת ובעמ' 25). </w:t>
      </w:r>
      <w:r w:rsidRPr="00AE33D8">
        <w:rPr>
          <w:rFonts w:ascii="Arial" w:hAnsi="Arial"/>
          <w:noProof w:val="0"/>
          <w:rtl/>
        </w:rPr>
        <w:t>שיעור זה חושב תוך שימוש במודל הסטנדרטי לחישוב הכנסות, הנובעות משכר בגין ניהול נכסים והשכרת נכסים. לשם הנוחות להלן תרשים השכר הראוי שמקבל הנתבע כפי שהוכן על ידי המומחה:</w:t>
      </w:r>
    </w:p>
    <w:p w:rsidR="00AE33D8" w:rsidRPr="00AE33D8" w:rsidRDefault="006E4076" w:rsidP="00AE33D8">
      <w:pPr>
        <w:autoSpaceDE w:val="0"/>
        <w:autoSpaceDN w:val="0"/>
        <w:adjustRightInd w:val="0"/>
        <w:spacing w:after="240" w:line="360" w:lineRule="auto"/>
        <w:contextualSpacing/>
        <w:jc w:val="both"/>
        <w:rPr>
          <w:rFonts w:ascii="Arial" w:hAnsi="Arial"/>
          <w:noProof w:val="0"/>
          <w:rtl/>
        </w:rPr>
      </w:pPr>
      <w:r w:rsidRPr="006E4076">
        <w:rPr>
          <w:rFonts w:ascii="Arial" w:hAnsi="Arial"/>
          <w:rtl/>
        </w:rPr>
        <w:drawing>
          <wp:inline distT="0" distB="0" distL="0" distR="0">
            <wp:extent cx="5400675" cy="1147525"/>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0675" cy="1147525"/>
                    </a:xfrm>
                    <a:prstGeom prst="rect">
                      <a:avLst/>
                    </a:prstGeom>
                    <a:noFill/>
                    <a:ln>
                      <a:noFill/>
                    </a:ln>
                  </pic:spPr>
                </pic:pic>
              </a:graphicData>
            </a:graphic>
          </wp:inline>
        </w:drawing>
      </w:r>
      <w:r w:rsidR="00AE33D8" w:rsidRPr="00AE33D8">
        <w:rPr>
          <w:rFonts w:ascii="Arial" w:hAnsi="Arial"/>
          <w:noProof w:val="0"/>
          <w:rtl/>
        </w:rPr>
        <w:t xml:space="preserve"> </w:t>
      </w:r>
    </w:p>
    <w:p w:rsidR="00AE33D8" w:rsidRPr="00AE33D8" w:rsidRDefault="00AE33D8" w:rsidP="00434AE3">
      <w:pPr>
        <w:autoSpaceDE w:val="0"/>
        <w:autoSpaceDN w:val="0"/>
        <w:adjustRightInd w:val="0"/>
        <w:spacing w:after="240"/>
        <w:contextualSpacing/>
        <w:jc w:val="both"/>
        <w:rPr>
          <w:rFonts w:ascii="Arial" w:hAnsi="Arial"/>
          <w:noProof w:val="0"/>
          <w:rtl/>
        </w:rPr>
      </w:pPr>
    </w:p>
    <w:p w:rsidR="00AE33D8" w:rsidRPr="00AE33D8" w:rsidRDefault="00AE33D8" w:rsidP="00866529">
      <w:pPr>
        <w:numPr>
          <w:ilvl w:val="0"/>
          <w:numId w:val="11"/>
        </w:numPr>
        <w:autoSpaceDE w:val="0"/>
        <w:autoSpaceDN w:val="0"/>
        <w:adjustRightInd w:val="0"/>
        <w:spacing w:after="240" w:line="360" w:lineRule="auto"/>
        <w:ind w:left="-1" w:firstLine="1"/>
        <w:contextualSpacing/>
        <w:jc w:val="both"/>
        <w:rPr>
          <w:rFonts w:ascii="Arial" w:hAnsi="Arial"/>
          <w:noProof w:val="0"/>
        </w:rPr>
      </w:pPr>
      <w:r w:rsidRPr="00AE33D8">
        <w:rPr>
          <w:rFonts w:ascii="Arial" w:hAnsi="Arial"/>
          <w:noProof w:val="0"/>
          <w:rtl/>
        </w:rPr>
        <w:t xml:space="preserve">הנתבע זכאי ל"שכר ראוי מהחברות". עיקר עיסוקו של הנתבע בחברות הוא ניהול והשכרת דירות לטווחי זמן קצרים, הידועות כדירות </w:t>
      </w:r>
      <w:r w:rsidRPr="00AE33D8">
        <w:rPr>
          <w:rFonts w:ascii="Arial" w:hAnsi="Arial"/>
          <w:noProof w:val="0"/>
        </w:rPr>
        <w:t>"AIRBNB"</w:t>
      </w:r>
      <w:r w:rsidRPr="00AE33D8">
        <w:rPr>
          <w:rFonts w:ascii="Arial" w:hAnsi="Arial"/>
          <w:noProof w:val="0"/>
          <w:rtl/>
        </w:rPr>
        <w:t xml:space="preserve">. תשלום דמי ניהול המשולם במסגרת שוק ניהול נכסים הוא עבור ניהולם, ולא עבור אחזקתם. תשלום עבור שירות חברת ניהול, המספקת גם שירותי אחזקה, מחושב לפי מודל </w:t>
      </w:r>
      <w:r w:rsidRPr="00AE33D8">
        <w:rPr>
          <w:rFonts w:ascii="Arial" w:hAnsi="Arial"/>
          <w:noProof w:val="0"/>
        </w:rPr>
        <w:t>Cost+</w:t>
      </w:r>
      <w:r w:rsidRPr="00AE33D8">
        <w:rPr>
          <w:rFonts w:ascii="Arial" w:hAnsi="Arial"/>
          <w:noProof w:val="0"/>
          <w:rtl/>
        </w:rPr>
        <w:t xml:space="preserve">, ולא לפי מודל המבוסס על אחוז מהמחזור. המומחה כאמור חישב את סכום השכר הראוי לפי מודל המבוסס על אחוז מהמחזור, ולא מודל  </w:t>
      </w:r>
      <w:r w:rsidRPr="00AE33D8">
        <w:rPr>
          <w:rFonts w:ascii="Arial" w:hAnsi="Arial"/>
          <w:noProof w:val="0"/>
        </w:rPr>
        <w:t>Cost +</w:t>
      </w:r>
      <w:r w:rsidRPr="00AE33D8">
        <w:rPr>
          <w:rFonts w:ascii="Arial" w:hAnsi="Arial"/>
          <w:noProof w:val="0"/>
          <w:rtl/>
        </w:rPr>
        <w:t xml:space="preserve"> על רקע ניהול ושליטה בחברות באופן לא מובחן במבחן המציאות.</w:t>
      </w:r>
    </w:p>
    <w:p w:rsidR="00AE33D8" w:rsidRPr="00AE33D8" w:rsidRDefault="00AE33D8" w:rsidP="00866529">
      <w:pPr>
        <w:autoSpaceDE w:val="0"/>
        <w:autoSpaceDN w:val="0"/>
        <w:adjustRightInd w:val="0"/>
        <w:spacing w:after="240" w:line="360" w:lineRule="auto"/>
        <w:ind w:left="-1" w:firstLine="1"/>
        <w:contextualSpacing/>
        <w:jc w:val="both"/>
        <w:rPr>
          <w:rFonts w:ascii="Arial" w:hAnsi="Arial"/>
          <w:noProof w:val="0"/>
        </w:rPr>
      </w:pPr>
    </w:p>
    <w:p w:rsidR="00AE33D8" w:rsidRDefault="00AE33D8" w:rsidP="00866529">
      <w:pPr>
        <w:numPr>
          <w:ilvl w:val="0"/>
          <w:numId w:val="11"/>
        </w:numPr>
        <w:autoSpaceDE w:val="0"/>
        <w:autoSpaceDN w:val="0"/>
        <w:adjustRightInd w:val="0"/>
        <w:spacing w:after="240" w:line="360" w:lineRule="auto"/>
        <w:ind w:left="-1" w:firstLine="1"/>
        <w:contextualSpacing/>
        <w:jc w:val="both"/>
        <w:rPr>
          <w:rFonts w:ascii="Arial" w:hAnsi="Arial"/>
          <w:noProof w:val="0"/>
        </w:rPr>
      </w:pPr>
      <w:r w:rsidRPr="00AE33D8">
        <w:rPr>
          <w:rFonts w:ascii="Arial" w:hAnsi="Arial"/>
          <w:noProof w:val="0"/>
          <w:rtl/>
        </w:rPr>
        <w:t>לנתבע ניתנה האפשרות להמציא למומחה מסמכים בכדי לאשש את טענותיו כנגד ייחוס השכר הראוי. עם זאת הנתבע בחר שלא לעשות כן. לכך כאמור יש נפקות.</w:t>
      </w:r>
    </w:p>
    <w:p w:rsidR="00434AE3" w:rsidRDefault="00434AE3" w:rsidP="00434AE3">
      <w:pPr>
        <w:pStyle w:val="ad"/>
        <w:rPr>
          <w:rFonts w:ascii="Arial" w:hAnsi="Arial"/>
          <w:noProof w:val="0"/>
          <w:rtl/>
        </w:rPr>
      </w:pPr>
    </w:p>
    <w:p w:rsidR="00AE33D8" w:rsidRPr="00AE33D8" w:rsidRDefault="00AE33D8" w:rsidP="006E4076">
      <w:pPr>
        <w:numPr>
          <w:ilvl w:val="0"/>
          <w:numId w:val="11"/>
        </w:numPr>
        <w:autoSpaceDE w:val="0"/>
        <w:autoSpaceDN w:val="0"/>
        <w:adjustRightInd w:val="0"/>
        <w:spacing w:after="240" w:line="360" w:lineRule="auto"/>
        <w:ind w:left="-1" w:firstLine="1"/>
        <w:contextualSpacing/>
        <w:jc w:val="both"/>
        <w:rPr>
          <w:rFonts w:ascii="Arial" w:hAnsi="Arial"/>
          <w:noProof w:val="0"/>
          <w:rtl/>
        </w:rPr>
      </w:pPr>
      <w:r w:rsidRPr="00AE33D8">
        <w:rPr>
          <w:rFonts w:ascii="Arial" w:hAnsi="Arial"/>
          <w:noProof w:val="0"/>
          <w:rtl/>
        </w:rPr>
        <w:t xml:space="preserve">הנתבע אישש בחקירתו את משיכתו משכורת עבור עצמו </w:t>
      </w:r>
      <w:r w:rsidRPr="00AE33D8">
        <w:rPr>
          <w:rFonts w:ascii="Arial" w:hAnsi="Arial"/>
          <w:b/>
          <w:bCs/>
          <w:noProof w:val="0"/>
          <w:rtl/>
        </w:rPr>
        <w:t xml:space="preserve">מחברת </w:t>
      </w:r>
      <w:r w:rsidR="006E4076">
        <w:rPr>
          <w:rFonts w:ascii="Arial" w:hAnsi="Arial" w:hint="cs"/>
          <w:b/>
          <w:bCs/>
          <w:noProof w:val="0"/>
        </w:rPr>
        <w:t>TTT</w:t>
      </w:r>
      <w:r w:rsidRPr="00AE33D8">
        <w:rPr>
          <w:rFonts w:ascii="Arial" w:hAnsi="Arial"/>
          <w:b/>
          <w:bCs/>
          <w:noProof w:val="0"/>
          <w:rtl/>
        </w:rPr>
        <w:t xml:space="preserve"> בסכום חודשי של 10,000 ₪ נטו.</w:t>
      </w:r>
      <w:r w:rsidRPr="00AE33D8">
        <w:rPr>
          <w:rFonts w:ascii="Arial" w:hAnsi="Arial"/>
          <w:noProof w:val="0"/>
          <w:rtl/>
        </w:rPr>
        <w:t xml:space="preserve"> בדומה לנתונים רבים אחרים על אודות הכנסת הנתבע, הן נתון זה לא הוצהר על ידי הנתבע, לא כל שכן – לא צורף תלוש משכורת של הנתבע מחברת </w:t>
      </w:r>
      <w:r w:rsidR="006E4076">
        <w:rPr>
          <w:rFonts w:ascii="Arial" w:hAnsi="Arial" w:hint="cs"/>
          <w:noProof w:val="0"/>
        </w:rPr>
        <w:t>TTT</w:t>
      </w:r>
      <w:r w:rsidRPr="00AE33D8">
        <w:rPr>
          <w:rFonts w:ascii="Arial" w:hAnsi="Arial"/>
          <w:noProof w:val="0"/>
          <w:rtl/>
        </w:rPr>
        <w:t xml:space="preserve"> או כל אסמכתה אחרת.</w:t>
      </w:r>
    </w:p>
    <w:p w:rsidR="00AE33D8" w:rsidRPr="00AE33D8" w:rsidRDefault="00AE33D8" w:rsidP="00866529">
      <w:pPr>
        <w:autoSpaceDE w:val="0"/>
        <w:autoSpaceDN w:val="0"/>
        <w:adjustRightInd w:val="0"/>
        <w:spacing w:after="240" w:line="360" w:lineRule="auto"/>
        <w:ind w:left="141" w:firstLine="1"/>
        <w:contextualSpacing/>
        <w:jc w:val="both"/>
        <w:rPr>
          <w:rFonts w:ascii="Arial" w:hAnsi="Arial"/>
          <w:noProof w:val="0"/>
        </w:rPr>
      </w:pPr>
    </w:p>
    <w:p w:rsidR="00AE33D8" w:rsidRPr="00AE33D8" w:rsidRDefault="00AE33D8" w:rsidP="006E4076">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יתרה מכך, בכדי להפריך את הממצאים שחוות הדעת לעניין הכנסתו החודשית של הנתבע בגין שכר ראוי </w:t>
      </w:r>
      <w:r w:rsidRPr="00AE33D8">
        <w:rPr>
          <w:rFonts w:ascii="Arial" w:hAnsi="Arial"/>
          <w:b/>
          <w:bCs/>
          <w:noProof w:val="0"/>
          <w:rtl/>
        </w:rPr>
        <w:t xml:space="preserve">בחברת </w:t>
      </w:r>
      <w:r w:rsidR="006E4076">
        <w:rPr>
          <w:rFonts w:ascii="Arial" w:hAnsi="Arial"/>
          <w:b/>
          <w:bCs/>
          <w:noProof w:val="0"/>
        </w:rPr>
        <w:t>HHH</w:t>
      </w:r>
      <w:r w:rsidRPr="00AE33D8">
        <w:rPr>
          <w:rFonts w:ascii="Arial" w:hAnsi="Arial"/>
          <w:noProof w:val="0"/>
          <w:rtl/>
        </w:rPr>
        <w:t>, בסעיף 12 (ח) (4) לתצהירו טען הנתבע כי "</w:t>
      </w:r>
      <w:r w:rsidRPr="00AE33D8">
        <w:rPr>
          <w:rFonts w:ascii="Arial" w:hAnsi="Arial"/>
          <w:b/>
          <w:bCs/>
          <w:noProof w:val="0"/>
          <w:rtl/>
        </w:rPr>
        <w:t xml:space="preserve">בחברת </w:t>
      </w:r>
      <w:r w:rsidR="006E4076">
        <w:rPr>
          <w:rFonts w:ascii="Arial" w:hAnsi="Arial" w:hint="cs"/>
          <w:b/>
          <w:bCs/>
          <w:noProof w:val="0"/>
        </w:rPr>
        <w:t>HHH</w:t>
      </w:r>
      <w:r w:rsidRPr="00AE33D8">
        <w:rPr>
          <w:rFonts w:ascii="Arial" w:hAnsi="Arial"/>
          <w:b/>
          <w:bCs/>
          <w:noProof w:val="0"/>
          <w:rtl/>
        </w:rPr>
        <w:t xml:space="preserve"> יש 3 שותפים, שעל פי הסכם המייסדים שבין השותפים, הניהול מופקד על כל השותפים, בחלקים שווים ביניהם</w:t>
      </w:r>
      <w:r w:rsidRPr="00AE33D8">
        <w:rPr>
          <w:rFonts w:ascii="Arial" w:hAnsi="Arial"/>
          <w:noProof w:val="0"/>
          <w:rtl/>
        </w:rPr>
        <w:t xml:space="preserve">". חרף הסתמכות הנתבע על "הסכם מייסדים זה", הנתבע לא טרח לצרפו. </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p>
    <w:p w:rsidR="00AE33D8" w:rsidRPr="00AE33D8" w:rsidRDefault="00AE33D8" w:rsidP="006E4076">
      <w:pPr>
        <w:autoSpaceDE w:val="0"/>
        <w:autoSpaceDN w:val="0"/>
        <w:adjustRightInd w:val="0"/>
        <w:spacing w:after="240" w:line="360" w:lineRule="auto"/>
        <w:ind w:firstLine="720"/>
        <w:contextualSpacing/>
        <w:jc w:val="both"/>
        <w:rPr>
          <w:rFonts w:ascii="Arial" w:hAnsi="Arial"/>
          <w:noProof w:val="0"/>
        </w:rPr>
      </w:pPr>
      <w:r w:rsidRPr="00AE33D8">
        <w:rPr>
          <w:rFonts w:ascii="Arial" w:hAnsi="Arial"/>
          <w:noProof w:val="0"/>
          <w:rtl/>
        </w:rPr>
        <w:lastRenderedPageBreak/>
        <w:t xml:space="preserve">בדומה לכך, גם ביחס לחברת </w:t>
      </w:r>
      <w:r w:rsidR="006E4076">
        <w:rPr>
          <w:rFonts w:ascii="Arial" w:hAnsi="Arial" w:hint="cs"/>
          <w:noProof w:val="0"/>
        </w:rPr>
        <w:t>SSS</w:t>
      </w:r>
      <w:r w:rsidRPr="00AE33D8">
        <w:rPr>
          <w:rFonts w:ascii="Arial" w:hAnsi="Arial"/>
          <w:noProof w:val="0"/>
          <w:rtl/>
        </w:rPr>
        <w:t xml:space="preserve"> לא טרח הנתבע לצרף כל חוזה או כל אסמכתה לאשש את טענותיו.</w:t>
      </w:r>
    </w:p>
    <w:p w:rsidR="00AE33D8" w:rsidRPr="00AE33D8" w:rsidRDefault="00AE33D8" w:rsidP="00AE33D8">
      <w:pPr>
        <w:autoSpaceDE w:val="0"/>
        <w:autoSpaceDN w:val="0"/>
        <w:adjustRightInd w:val="0"/>
        <w:spacing w:after="240" w:line="360" w:lineRule="auto"/>
        <w:contextualSpacing/>
        <w:jc w:val="both"/>
        <w:rPr>
          <w:rFonts w:ascii="Arial" w:hAnsi="Arial"/>
          <w:noProof w:val="0"/>
          <w:rtl/>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הימנעות הנתבע מהמצאת מסמכים אלה פעם אחר פעם מקימה חזקה הפועלת כנגדו, שלו הובאו אותם מסמכים נטענים, תוכנם היו פועל לרעת הנתבע (ראו- הלכת שוורץ)).</w:t>
      </w: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p>
    <w:p w:rsidR="00AE33D8" w:rsidRPr="00AE33D8" w:rsidRDefault="00AE33D8" w:rsidP="00E400B2">
      <w:pPr>
        <w:numPr>
          <w:ilvl w:val="0"/>
          <w:numId w:val="11"/>
        </w:numPr>
        <w:autoSpaceDE w:val="0"/>
        <w:autoSpaceDN w:val="0"/>
        <w:adjustRightInd w:val="0"/>
        <w:spacing w:after="240" w:line="360" w:lineRule="auto"/>
        <w:ind w:left="0" w:firstLine="0"/>
        <w:contextualSpacing/>
        <w:jc w:val="both"/>
        <w:rPr>
          <w:rFonts w:ascii="Arial" w:hAnsi="Arial"/>
          <w:noProof w:val="0"/>
          <w:rtl/>
        </w:rPr>
      </w:pPr>
      <w:r w:rsidRPr="00AE33D8">
        <w:rPr>
          <w:rFonts w:ascii="Arial" w:hAnsi="Arial"/>
          <w:noProof w:val="0"/>
          <w:rtl/>
        </w:rPr>
        <w:t xml:space="preserve">יצוין, כי אף לו היה ממש בטענות הנתבע שלעיל, לא היה בכך בכדי להשפיע על הערכת השכר הראוי, מאחר שייתכן שגובה השכר הראוי המיוחס לנתבע הוא על הצד הנמוך, היות שבמהלך הליך ההוכחות התגלו קשרי עסקים ועבודה בין הנתבע לבין </w:t>
      </w:r>
      <w:r w:rsidRPr="00AE33D8">
        <w:rPr>
          <w:rFonts w:ascii="Arial" w:hAnsi="Arial"/>
          <w:b/>
          <w:bCs/>
          <w:noProof w:val="0"/>
          <w:rtl/>
        </w:rPr>
        <w:t>חברת "</w:t>
      </w:r>
      <w:r w:rsidR="006E4076">
        <w:rPr>
          <w:rFonts w:ascii="Arial" w:hAnsi="Arial" w:hint="cs"/>
          <w:b/>
          <w:bCs/>
          <w:noProof w:val="0"/>
        </w:rPr>
        <w:t>RRR</w:t>
      </w:r>
      <w:r w:rsidRPr="00AE33D8">
        <w:rPr>
          <w:rFonts w:ascii="Arial" w:hAnsi="Arial"/>
          <w:noProof w:val="0"/>
          <w:rtl/>
        </w:rPr>
        <w:t xml:space="preserve">". הנתבע העיד כי הוא "אחראי פיתוח בחברה", עתיד לקחת חלק מ"כל פעילות נדל"נית שתהיה שם", וכי הוא זכאי ל-1/3 מרווחי חברת </w:t>
      </w:r>
      <w:r w:rsidR="00E400B2">
        <w:rPr>
          <w:rFonts w:ascii="Arial" w:hAnsi="Arial" w:hint="cs"/>
          <w:noProof w:val="0"/>
        </w:rPr>
        <w:t>RRR</w:t>
      </w:r>
      <w:r w:rsidRPr="00AE33D8">
        <w:rPr>
          <w:rFonts w:ascii="Arial" w:hAnsi="Arial"/>
          <w:noProof w:val="0"/>
          <w:rtl/>
        </w:rPr>
        <w:t>, שלפי עדותו, היא חברה בעלת הכנסות. לטענת הנתבע כיום חברת "</w:t>
      </w:r>
      <w:r w:rsidR="00E400B2">
        <w:rPr>
          <w:rFonts w:ascii="Arial" w:hAnsi="Arial" w:hint="cs"/>
          <w:noProof w:val="0"/>
        </w:rPr>
        <w:t>RRR</w:t>
      </w:r>
      <w:r w:rsidRPr="00AE33D8">
        <w:rPr>
          <w:rFonts w:ascii="Arial" w:hAnsi="Arial"/>
          <w:noProof w:val="0"/>
          <w:rtl/>
        </w:rPr>
        <w:t xml:space="preserve">" משלמת לו דמי שכירות (עמ'  74-73 לפרוטוקול). </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 xml:space="preserve">אשר לחברה בפרוטוגל, לפי גרסת הנתבע הוא נתן לה הלוואה בסך של כ-  80,000 ₪ או 350,000 ₪. הנתבע לא זכר במדויק כמה נתן וכמה קיבל בחזרה (עמ' 100 שו' 26-32 ועמ' 101 שו' 7-22 לפרוטוקול). לא ברור, האם הנתבע מקבל או עתיד לקבל ממנה שכר. אשר לחברת הון סיכון, לא נמצאו אינדיקציות על אודותיה במסגרת ההליך שלפניי. ושוב רב הנסתר על הגילוי. </w:t>
      </w: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 xml:space="preserve">מחקירתו של הנתבע ומההתרשמות הבלתי אמצעית של בית המשפט, מצאתי את עדותו של הנתבע בלתי מהימנה. </w:t>
      </w: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הנה כי כן, המדובר בעירוב נכסים והתנהלות המעוררת תהיות בנוגע ליכולת הכלכלית הענפה של הנתבע. בשים לב, להתחמקות החוזר של הנתבע ממתן מידע מלא על אודות היקפיו הכספיים. הנה כי כן, הנתבע שלפניי מרוויח סכומי כסף גבוהים ביותר, המסתכמים בעשרות אלפים נטו לחודש ממספר מקורות, מלווה כספים שאינו זוכר סכומם והאם כלל הושבו לו. יש בכך כדי ללמד, כי לפנינו אדם אמיד ביותר.</w:t>
      </w:r>
    </w:p>
    <w:p w:rsidR="00AE33D8" w:rsidRPr="00AE33D8" w:rsidRDefault="00AE33D8" w:rsidP="00AE33D8">
      <w:pPr>
        <w:autoSpaceDE w:val="0"/>
        <w:autoSpaceDN w:val="0"/>
        <w:adjustRightInd w:val="0"/>
        <w:spacing w:after="240" w:line="360" w:lineRule="auto"/>
        <w:contextualSpacing/>
        <w:jc w:val="both"/>
        <w:rPr>
          <w:rFonts w:ascii="Arial" w:hAnsi="Arial"/>
          <w:noProof w:val="0"/>
          <w:rtl/>
        </w:rPr>
      </w:pPr>
    </w:p>
    <w:p w:rsidR="00AE33D8" w:rsidRPr="00AE33D8" w:rsidRDefault="00AE33D8" w:rsidP="00AE33D8">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גם כאן, הנתבע נמנע מגילוי עובדות אלו בכתבי טענותיו, לא כל שכן מצירוף מסמכים רלוונטיים אלו לתצהירו. ראו עדות הנתבע לעניין זה (עמ' 75-72 לפרוטוקול).</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לשם בחינת כושר ההכנסה או ההכנסה בפועל, במסגרת ההכרעה בתביעת מזונות, לא די בבחינה בלעדית של תלושי השכר, שלעתים קרובות אינם משקפים את התמונה הכלכלית המלאה, ויש לבחון את ההכנסות, דה פקטו מכלל המקורות ולהתחקות על אודותיהם כפי שנפסק בבע"מ 919/15 ובבע"מ 3432/09 </w:t>
      </w:r>
      <w:r w:rsidRPr="00AE33D8">
        <w:rPr>
          <w:rFonts w:ascii="Arial" w:hAnsi="Arial"/>
          <w:b/>
          <w:bCs/>
          <w:noProof w:val="0"/>
          <w:rtl/>
        </w:rPr>
        <w:t>פלוני נ' פלונית</w:t>
      </w:r>
      <w:r w:rsidRPr="00AE33D8">
        <w:rPr>
          <w:rFonts w:ascii="Arial" w:hAnsi="Arial"/>
          <w:noProof w:val="0"/>
          <w:rtl/>
        </w:rPr>
        <w:t xml:space="preserve"> (23.6.2009):</w:t>
      </w:r>
    </w:p>
    <w:p w:rsidR="00AE33D8" w:rsidRPr="00AE33D8" w:rsidRDefault="00AE33D8" w:rsidP="00AE33D8">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lastRenderedPageBreak/>
        <w:t>"... בכל זאת אגע בקצרה באחת הנקודות שהעלה המבקש, והיא האם בעת חישוב הכנסתו ראוי היה להכיר בניכוי הנעשה ממשכורתו לצורך קופת חסכון, לראות את השתכרותו כנמוכה יותר, ולהפחית בהתאם מגובה המזונות. ראשית, רואה אני לנכון להדגיש את המובן מאליו, כי בעת קביעת גובה המזונות, השיקול המנחה הוא צרכי הילדים...לצד זאת, ישנה התחשבות ביכולת הכלכלית. בעת הערכתה של זו ההסתכלות היא רחבה; היא נגזרת לא רק מן המשכורת – בוודאי לא משורת ה"נטו" במשכורת שלעתים אינה משקפת תמונה מלאה, ואין צורך להכביר על כך מלים - אלא מסך כל המקורות הכלכליים העומדים לרשות משלם המזונות, כולל נכסים, חסכונות, ואף פוטנציאל ההשתכרות...בכגון דא הדגש אינו בשאלה כמה משתכר האב או מהי משכורתו הפנויה, אלא כמה כספים יכול הוא להקצות לצרכי ילדיו".</w:t>
      </w:r>
    </w:p>
    <w:p w:rsidR="00AE33D8" w:rsidRPr="00AE33D8" w:rsidRDefault="00AE33D8" w:rsidP="00AE33D8">
      <w:pPr>
        <w:autoSpaceDE w:val="0"/>
        <w:autoSpaceDN w:val="0"/>
        <w:adjustRightInd w:val="0"/>
        <w:spacing w:after="240" w:line="360" w:lineRule="auto"/>
        <w:contextualSpacing/>
        <w:jc w:val="both"/>
        <w:rPr>
          <w:rFonts w:ascii="Arial" w:hAnsi="Arial"/>
          <w:b/>
          <w:bCs/>
          <w:noProof w:val="0"/>
          <w:rtl/>
        </w:rPr>
      </w:pPr>
    </w:p>
    <w:p w:rsidR="00AE33D8" w:rsidRPr="00AE33D8" w:rsidRDefault="00AE33D8" w:rsidP="00866529">
      <w:pPr>
        <w:autoSpaceDE w:val="0"/>
        <w:autoSpaceDN w:val="0"/>
        <w:adjustRightInd w:val="0"/>
        <w:spacing w:after="240" w:line="360" w:lineRule="auto"/>
        <w:ind w:firstLine="720"/>
        <w:contextualSpacing/>
        <w:jc w:val="both"/>
        <w:rPr>
          <w:rFonts w:ascii="Arial" w:hAnsi="Arial"/>
          <w:noProof w:val="0"/>
          <w:rtl/>
        </w:rPr>
      </w:pPr>
      <w:r w:rsidRPr="00AE33D8">
        <w:rPr>
          <w:rFonts w:ascii="Arial" w:hAnsi="Arial"/>
          <w:noProof w:val="0"/>
          <w:rtl/>
        </w:rPr>
        <w:t xml:space="preserve">וכך גם בע"א 239/86 </w:t>
      </w:r>
      <w:r w:rsidRPr="00AE33D8">
        <w:rPr>
          <w:rFonts w:ascii="Arial" w:hAnsi="Arial"/>
          <w:b/>
          <w:bCs/>
          <w:noProof w:val="0"/>
          <w:rtl/>
        </w:rPr>
        <w:t>עמיצור נ' עמיצור</w:t>
      </w:r>
      <w:r w:rsidRPr="00AE33D8">
        <w:rPr>
          <w:rFonts w:ascii="Arial" w:hAnsi="Arial"/>
          <w:noProof w:val="0"/>
          <w:rtl/>
        </w:rPr>
        <w:t xml:space="preserve"> , מ(1) 153, 147 (1986):</w:t>
      </w:r>
    </w:p>
    <w:p w:rsidR="00AE33D8" w:rsidRPr="00AE33D8" w:rsidRDefault="00AE33D8" w:rsidP="00AE33D8">
      <w:pPr>
        <w:autoSpaceDE w:val="0"/>
        <w:autoSpaceDN w:val="0"/>
        <w:adjustRightInd w:val="0"/>
        <w:spacing w:after="240"/>
        <w:ind w:left="1134" w:right="1134"/>
        <w:contextualSpacing/>
        <w:jc w:val="both"/>
        <w:rPr>
          <w:rFonts w:ascii="Arial" w:hAnsi="Arial"/>
          <w:b/>
          <w:bCs/>
          <w:noProof w:val="0"/>
          <w:rtl/>
        </w:rPr>
      </w:pPr>
      <w:r w:rsidRPr="00AE33D8">
        <w:rPr>
          <w:rFonts w:ascii="Arial" w:hAnsi="Arial"/>
          <w:b/>
          <w:bCs/>
          <w:noProof w:val="0"/>
          <w:rtl/>
        </w:rPr>
        <w:t>"יכולתו של הבעל לשאת במזונות אלה אינה נקבעת רק על פי הכנסתו, המוגבלת והמצומצמת בנסיבות מסוימות או מטעמים מסוימים, אלא על-פי יכולתו למצות  את כישוריו ולהגדיל את הכנסתו, ולא רק מהכנסתו מעבודה אלא גם ממקורות אחרים, כולל רכושו"</w:t>
      </w:r>
    </w:p>
    <w:p w:rsidR="00AE33D8" w:rsidRPr="00AE33D8" w:rsidRDefault="00AE33D8" w:rsidP="00AE33D8">
      <w:pPr>
        <w:autoSpaceDE w:val="0"/>
        <w:autoSpaceDN w:val="0"/>
        <w:adjustRightInd w:val="0"/>
        <w:spacing w:after="240" w:line="360" w:lineRule="auto"/>
        <w:contextualSpacing/>
        <w:jc w:val="both"/>
        <w:rPr>
          <w:rFonts w:ascii="Arial" w:hAnsi="Arial"/>
          <w:noProof w:val="0"/>
          <w:rtl/>
        </w:rPr>
      </w:pPr>
    </w:p>
    <w:p w:rsidR="00AE33D8" w:rsidRPr="00AE33D8" w:rsidRDefault="00AE33D8" w:rsidP="00866529">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הנה כי כן, בנסיבות שלפנינו, איני מקבלת את גרסת הנתבע, כי אין להכליל במסגרת הכנסתו הכוללת שכר ראוי עבור פעילותו ויגיע כפיו בחברות.</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r w:rsidRPr="00AE33D8">
        <mc:AlternateContent>
          <mc:Choice Requires="wps">
            <w:drawing>
              <wp:anchor distT="0" distB="0" distL="114300" distR="114300" simplePos="0" relativeHeight="251662336" behindDoc="1" locked="0" layoutInCell="1" allowOverlap="1" wp14:anchorId="72EC840F" wp14:editId="74F86E81">
                <wp:simplePos x="0" y="0"/>
                <wp:positionH relativeFrom="margin">
                  <wp:posOffset>-101340</wp:posOffset>
                </wp:positionH>
                <wp:positionV relativeFrom="paragraph">
                  <wp:posOffset>243706</wp:posOffset>
                </wp:positionV>
                <wp:extent cx="5512158" cy="756920"/>
                <wp:effectExtent l="57150" t="38100" r="69850" b="100330"/>
                <wp:wrapNone/>
                <wp:docPr id="40" name="מלבן 5"/>
                <wp:cNvGraphicFramePr/>
                <a:graphic xmlns:a="http://schemas.openxmlformats.org/drawingml/2006/main">
                  <a:graphicData uri="http://schemas.microsoft.com/office/word/2010/wordprocessingShape">
                    <wps:wsp>
                      <wps:cNvSpPr/>
                      <wps:spPr>
                        <a:xfrm>
                          <a:off x="0" y="0"/>
                          <a:ext cx="5512158" cy="75692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98016F" id="מלבן 5" o:spid="_x0000_s1026" style="position:absolute;left:0;text-align:left;margin-left:-8pt;margin-top:19.2pt;width:434.05pt;height:59.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" fillcolor="#bcbcbc">
                <v:fill color2="#ededed" rotate="t" angle="180" colors="0 #bcbcbc;22938f #d0d0d0;1 #ededed" focus="100%" type="gradient"/>
                <v:shadow on="t" color="black" opacity="24903f" origin=",.5" offset="0,.55556mm"/>
                <w10:wrap anchorx="margin"/>
              </v:rect>
            </w:pict>
          </mc:Fallback>
        </mc:AlternateContent>
      </w:r>
    </w:p>
    <w:p w:rsidR="00AE33D8" w:rsidRPr="00AE33D8" w:rsidRDefault="00AE33D8" w:rsidP="00866529">
      <w:pPr>
        <w:numPr>
          <w:ilvl w:val="0"/>
          <w:numId w:val="11"/>
        </w:numPr>
        <w:autoSpaceDE w:val="0"/>
        <w:autoSpaceDN w:val="0"/>
        <w:adjustRightInd w:val="0"/>
        <w:spacing w:after="240" w:line="360" w:lineRule="auto"/>
        <w:ind w:left="-1" w:firstLine="1"/>
        <w:contextualSpacing/>
        <w:jc w:val="both"/>
        <w:rPr>
          <w:rFonts w:ascii="Arial" w:hAnsi="Arial"/>
          <w:b/>
          <w:bCs/>
          <w:noProof w:val="0"/>
        </w:rPr>
      </w:pPr>
      <w:r w:rsidRPr="00AE33D8">
        <w:rPr>
          <w:rFonts w:ascii="Arial" w:hAnsi="Arial"/>
          <w:b/>
          <w:bCs/>
          <w:noProof w:val="0"/>
          <w:rtl/>
        </w:rPr>
        <w:t xml:space="preserve">סיכומו של דבר -  כעולה מהתמונה העובדתית והראייתית שנפרשה לפניי, תוך יישום ההלכה הפסוקה, ביחס להערכת השכר הראוי של הנתבע מהחברות,  מצאתי לאמץ את הממצאים שבחוות הדעת ולהעריכו בסך של 15,437 ₪ נטו לחודש.  </w:t>
      </w:r>
    </w:p>
    <w:p w:rsidR="00AE33D8" w:rsidRPr="00AE33D8" w:rsidRDefault="00AE33D8" w:rsidP="00AE33D8">
      <w:pPr>
        <w:spacing w:after="120" w:line="276" w:lineRule="auto"/>
        <w:ind w:left="720"/>
        <w:contextualSpacing/>
        <w:rPr>
          <w:rFonts w:ascii="Arial" w:hAnsi="Arial"/>
          <w:b/>
          <w:bCs/>
          <w:noProof w:val="0"/>
        </w:rPr>
      </w:pPr>
    </w:p>
    <w:p w:rsidR="00AE33D8" w:rsidRPr="00AE33D8" w:rsidRDefault="00AE33D8" w:rsidP="006E4076">
      <w:pPr>
        <w:autoSpaceDE w:val="0"/>
        <w:autoSpaceDN w:val="0"/>
        <w:adjustRightInd w:val="0"/>
        <w:spacing w:after="240" w:line="360" w:lineRule="auto"/>
        <w:contextualSpacing/>
        <w:jc w:val="both"/>
        <w:rPr>
          <w:rFonts w:ascii="Arial" w:hAnsi="Arial"/>
          <w:b/>
          <w:bCs/>
          <w:noProof w:val="0"/>
          <w:u w:val="single"/>
          <w:rtl/>
        </w:rPr>
      </w:pPr>
      <w:r w:rsidRPr="00AE33D8">
        <w:rPr>
          <w:rFonts w:ascii="Arial" w:hAnsi="Arial"/>
          <w:b/>
          <w:bCs/>
          <w:noProof w:val="0"/>
          <w:u w:val="single"/>
          <w:rtl/>
        </w:rPr>
        <w:t xml:space="preserve">הכנסת הנתבע מחלוקת דיבידנד בגין "רווחים כלואים" בחברת </w:t>
      </w:r>
      <w:r w:rsidR="006E4076">
        <w:rPr>
          <w:rFonts w:ascii="Arial" w:hAnsi="Arial" w:hint="cs"/>
          <w:b/>
          <w:bCs/>
          <w:noProof w:val="0"/>
          <w:u w:val="single"/>
        </w:rPr>
        <w:t>TTT</w:t>
      </w:r>
      <w:r w:rsidRPr="00AE33D8">
        <w:rPr>
          <w:rFonts w:ascii="Arial" w:hAnsi="Arial"/>
          <w:b/>
          <w:bCs/>
          <w:noProof w:val="0"/>
          <w:u w:val="single"/>
          <w:rtl/>
        </w:rPr>
        <w:t xml:space="preserve"> </w:t>
      </w:r>
    </w:p>
    <w:p w:rsidR="00AE33D8" w:rsidRPr="00AE33D8" w:rsidRDefault="00AE33D8" w:rsidP="00434AE3">
      <w:pPr>
        <w:autoSpaceDE w:val="0"/>
        <w:autoSpaceDN w:val="0"/>
        <w:adjustRightInd w:val="0"/>
        <w:spacing w:after="240"/>
        <w:contextualSpacing/>
        <w:jc w:val="both"/>
        <w:rPr>
          <w:rFonts w:ascii="Arial" w:hAnsi="Arial"/>
          <w:b/>
          <w:bCs/>
          <w:noProof w:val="0"/>
          <w:u w:val="single"/>
          <w:rtl/>
        </w:rPr>
      </w:pPr>
    </w:p>
    <w:p w:rsidR="00AE33D8" w:rsidRPr="00AE33D8" w:rsidRDefault="00AE33D8" w:rsidP="006E4076">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כאמור, הנתבע אוחז ב-100% ממניות חברת </w:t>
      </w:r>
      <w:r w:rsidR="006E4076">
        <w:rPr>
          <w:rFonts w:ascii="Arial" w:hAnsi="Arial" w:hint="cs"/>
          <w:noProof w:val="0"/>
        </w:rPr>
        <w:t>TTT</w:t>
      </w:r>
      <w:r w:rsidRPr="00AE33D8">
        <w:rPr>
          <w:rFonts w:ascii="Arial" w:hAnsi="Arial"/>
          <w:noProof w:val="0"/>
          <w:rtl/>
        </w:rPr>
        <w:t xml:space="preserve"> ובעל שליטה מוחלטת בה.</w:t>
      </w:r>
    </w:p>
    <w:p w:rsidR="00AE33D8" w:rsidRPr="00AE33D8" w:rsidRDefault="00AE33D8" w:rsidP="00434AE3">
      <w:pPr>
        <w:autoSpaceDE w:val="0"/>
        <w:autoSpaceDN w:val="0"/>
        <w:adjustRightInd w:val="0"/>
        <w:spacing w:after="240"/>
        <w:contextualSpacing/>
        <w:jc w:val="both"/>
        <w:rPr>
          <w:rFonts w:ascii="Arial" w:hAnsi="Arial"/>
          <w:noProof w:val="0"/>
        </w:rPr>
      </w:pPr>
    </w:p>
    <w:p w:rsidR="00AE33D8" w:rsidRPr="00AE33D8" w:rsidRDefault="00AE33D8" w:rsidP="00E400B2">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חברת </w:t>
      </w:r>
      <w:r w:rsidR="006E4076">
        <w:rPr>
          <w:rFonts w:ascii="Arial" w:hAnsi="Arial" w:hint="cs"/>
          <w:noProof w:val="0"/>
        </w:rPr>
        <w:t>TTT</w:t>
      </w:r>
      <w:r w:rsidRPr="00AE33D8">
        <w:rPr>
          <w:rFonts w:ascii="Arial" w:hAnsi="Arial"/>
          <w:noProof w:val="0"/>
          <w:rtl/>
        </w:rPr>
        <w:t xml:space="preserve"> היא "חברה משתתפת" – "</w:t>
      </w:r>
      <w:r w:rsidRPr="00AE33D8">
        <w:rPr>
          <w:rFonts w:ascii="Arial" w:hAnsi="Arial"/>
          <w:b/>
          <w:bCs/>
          <w:noProof w:val="0"/>
          <w:rtl/>
        </w:rPr>
        <w:t xml:space="preserve">חברה בה יש למי מבני הזוג שליטה מלאה בקשר עם חלוקת רווחי החברה לבעלי המניות ולעיתוי חלוקת רווחים אלו" </w:t>
      </w:r>
      <w:r w:rsidRPr="00AE33D8">
        <w:rPr>
          <w:rFonts w:ascii="Arial" w:hAnsi="Arial"/>
          <w:noProof w:val="0"/>
          <w:rtl/>
        </w:rPr>
        <w:t>(סעיף 4(א) עמ' 1 לחוות הדעת)</w:t>
      </w:r>
      <w:r w:rsidRPr="00AE33D8">
        <w:rPr>
          <w:rFonts w:ascii="Arial" w:hAnsi="Arial"/>
          <w:b/>
          <w:bCs/>
          <w:noProof w:val="0"/>
          <w:rtl/>
        </w:rPr>
        <w:t>.</w:t>
      </w:r>
      <w:r w:rsidRPr="00AE33D8">
        <w:rPr>
          <w:rFonts w:ascii="Arial" w:hAnsi="Arial"/>
          <w:noProof w:val="0"/>
          <w:rtl/>
        </w:rPr>
        <w:t xml:space="preserve"> הנתבע הוא בעל שליטה מלאה לעניין חלוקת רווחי חברת </w:t>
      </w:r>
      <w:r w:rsidR="00E400B2">
        <w:rPr>
          <w:rFonts w:ascii="Arial" w:hAnsi="Arial" w:hint="cs"/>
          <w:noProof w:val="0"/>
        </w:rPr>
        <w:t>TTT</w:t>
      </w:r>
      <w:r w:rsidRPr="00AE33D8">
        <w:rPr>
          <w:rFonts w:ascii="Arial" w:hAnsi="Arial"/>
          <w:noProof w:val="0"/>
          <w:rtl/>
        </w:rPr>
        <w:t xml:space="preserve"> ולעיתוי חלוקתם, בהיותו בעליה הבלעדיים.</w:t>
      </w:r>
    </w:p>
    <w:p w:rsidR="00AE33D8" w:rsidRPr="00AE33D8" w:rsidRDefault="00AE33D8" w:rsidP="00866529">
      <w:pPr>
        <w:autoSpaceDE w:val="0"/>
        <w:autoSpaceDN w:val="0"/>
        <w:adjustRightInd w:val="0"/>
        <w:spacing w:after="240"/>
        <w:contextualSpacing/>
        <w:jc w:val="both"/>
        <w:rPr>
          <w:rFonts w:ascii="Arial" w:hAnsi="Arial"/>
          <w:noProof w:val="0"/>
        </w:rPr>
      </w:pPr>
    </w:p>
    <w:p w:rsidR="00AE33D8" w:rsidRPr="00AE33D8" w:rsidRDefault="00AE33D8" w:rsidP="006E4076">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t xml:space="preserve">כעולה מחוות הדעת, נכון ליום 31.12.2019 החזיקה חברת </w:t>
      </w:r>
      <w:r w:rsidR="006E4076">
        <w:rPr>
          <w:rFonts w:ascii="Arial" w:hAnsi="Arial" w:hint="cs"/>
          <w:noProof w:val="0"/>
        </w:rPr>
        <w:t>TTT</w:t>
      </w:r>
      <w:r w:rsidRPr="00AE33D8">
        <w:rPr>
          <w:rFonts w:ascii="Arial" w:hAnsi="Arial"/>
          <w:noProof w:val="0"/>
          <w:rtl/>
        </w:rPr>
        <w:t xml:space="preserve"> </w:t>
      </w:r>
      <w:r w:rsidRPr="00AE33D8">
        <w:rPr>
          <w:rFonts w:ascii="Arial" w:hAnsi="Arial"/>
          <w:b/>
          <w:bCs/>
          <w:noProof w:val="0"/>
          <w:rtl/>
        </w:rPr>
        <w:t>ברווחים כלואים</w:t>
      </w:r>
      <w:r w:rsidRPr="00AE33D8">
        <w:rPr>
          <w:rFonts w:ascii="Arial" w:hAnsi="Arial"/>
          <w:noProof w:val="0"/>
          <w:rtl/>
        </w:rPr>
        <w:t xml:space="preserve"> בסכום של </w:t>
      </w:r>
      <w:r w:rsidRPr="00AE33D8">
        <w:rPr>
          <w:rFonts w:ascii="Arial" w:hAnsi="Arial"/>
          <w:b/>
          <w:bCs/>
          <w:noProof w:val="0"/>
          <w:rtl/>
        </w:rPr>
        <w:t xml:space="preserve">255,452 ₪ נטו </w:t>
      </w:r>
      <w:r w:rsidRPr="00AE33D8">
        <w:rPr>
          <w:rFonts w:ascii="Arial" w:hAnsi="Arial"/>
          <w:noProof w:val="0"/>
          <w:rtl/>
        </w:rPr>
        <w:t xml:space="preserve">(לאחר קיזוז מס רעיונאי בשיעור של 30%). חלוקת סכום זה במספר החודשים שחלפו ממועד הקמת החברה, 06/2013, ועד ליום 31.12.2019 (78 חודשים) מביאה לסכום הכנסה חודשית בסך </w:t>
      </w:r>
      <w:r w:rsidRPr="00AE33D8">
        <w:rPr>
          <w:rFonts w:ascii="Arial" w:hAnsi="Arial"/>
          <w:b/>
          <w:bCs/>
          <w:noProof w:val="0"/>
          <w:rtl/>
        </w:rPr>
        <w:t>של 3,275 ₪ נטו לחודש</w:t>
      </w:r>
      <w:r w:rsidRPr="00AE33D8">
        <w:rPr>
          <w:rFonts w:ascii="Arial" w:hAnsi="Arial"/>
          <w:noProof w:val="0"/>
          <w:rtl/>
        </w:rPr>
        <w:t xml:space="preserve"> (עמ' 29 לחוות הדעת).</w:t>
      </w:r>
    </w:p>
    <w:p w:rsidR="00AE33D8" w:rsidRPr="00AE33D8" w:rsidRDefault="00AE33D8" w:rsidP="00866529">
      <w:pPr>
        <w:autoSpaceDE w:val="0"/>
        <w:autoSpaceDN w:val="0"/>
        <w:adjustRightInd w:val="0"/>
        <w:spacing w:after="240" w:line="360" w:lineRule="auto"/>
        <w:contextualSpacing/>
        <w:jc w:val="both"/>
        <w:rPr>
          <w:rFonts w:ascii="Arial" w:hAnsi="Arial"/>
          <w:noProof w:val="0"/>
          <w:rtl/>
        </w:rPr>
      </w:pPr>
    </w:p>
    <w:p w:rsidR="00AE33D8" w:rsidRPr="00AE33D8" w:rsidRDefault="00AE33D8" w:rsidP="006E4076">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Arial" w:hAnsi="Arial"/>
          <w:noProof w:val="0"/>
          <w:rtl/>
        </w:rPr>
        <w:lastRenderedPageBreak/>
        <w:t xml:space="preserve">לא קבלתי את טענת הנתבע לפיה, שגה המומחה בהפחתתו את משקל ההפסד הכספי של חברת </w:t>
      </w:r>
      <w:r w:rsidR="006E4076">
        <w:rPr>
          <w:rFonts w:ascii="Arial" w:hAnsi="Arial" w:hint="cs"/>
          <w:noProof w:val="0"/>
        </w:rPr>
        <w:t>TTT</w:t>
      </w:r>
      <w:r w:rsidRPr="00AE33D8">
        <w:rPr>
          <w:rFonts w:ascii="Arial" w:hAnsi="Arial"/>
          <w:noProof w:val="0"/>
          <w:rtl/>
        </w:rPr>
        <w:t xml:space="preserve"> בשנת 2020 במסגרת חישוב הערכת רווחיה הכלואים, בהיותה שנה שאינה מייצגת את רווחי שוק ההשכרה לטווח קצר, נוכח משבר הקורונה שהיה בעיצומו באותה עת. טענה זו נטענה על ידי הנתבע באופן פשטני וסתמי, ללא כל תימוכין. ככל שהנתבע היה מצרף לתצהירו מסמכים שיש בהם כדי לשלול את הנחת המומחה בסוגיה, ייתכן שהיה מקום לדון בטענתו זה, אך מסמכים מעין אלו לא הוצגו. </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r w:rsidRPr="00AE33D8">
        <mc:AlternateContent>
          <mc:Choice Requires="wps">
            <w:drawing>
              <wp:anchor distT="0" distB="0" distL="114300" distR="114300" simplePos="0" relativeHeight="251663360" behindDoc="1" locked="0" layoutInCell="1" allowOverlap="1" wp14:anchorId="76933572" wp14:editId="6B931D5E">
                <wp:simplePos x="0" y="0"/>
                <wp:positionH relativeFrom="column">
                  <wp:posOffset>-127098</wp:posOffset>
                </wp:positionH>
                <wp:positionV relativeFrom="paragraph">
                  <wp:posOffset>201340</wp:posOffset>
                </wp:positionV>
                <wp:extent cx="5589431" cy="501650"/>
                <wp:effectExtent l="57150" t="38100" r="68580" b="88900"/>
                <wp:wrapNone/>
                <wp:docPr id="39" name="מלבן 7"/>
                <wp:cNvGraphicFramePr/>
                <a:graphic xmlns:a="http://schemas.openxmlformats.org/drawingml/2006/main">
                  <a:graphicData uri="http://schemas.microsoft.com/office/word/2010/wordprocessingShape">
                    <wps:wsp>
                      <wps:cNvSpPr/>
                      <wps:spPr>
                        <a:xfrm>
                          <a:off x="0" y="0"/>
                          <a:ext cx="5589431" cy="501650"/>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AE0AD9B" id="מלבן 7" o:spid="_x0000_s1026" style="position:absolute;left:0;text-align:left;margin-left:-10pt;margin-top:15.85pt;width:440.1pt;height:3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" fillcolor="#bcbcbc">
                <v:fill color2="#ededed" rotate="t" angle="180" colors="0 #bcbcbc;22938f #d0d0d0;1 #ededed" focus="100%" type="gradient"/>
                <v:shadow on="t" color="black" opacity="24903f" origin=",.5" offset="0,.55556mm"/>
              </v:rect>
            </w:pict>
          </mc:Fallback>
        </mc:AlternateContent>
      </w:r>
    </w:p>
    <w:p w:rsidR="00AE33D8" w:rsidRPr="00AE33D8" w:rsidRDefault="00AE33D8" w:rsidP="006E4076">
      <w:pPr>
        <w:numPr>
          <w:ilvl w:val="0"/>
          <w:numId w:val="11"/>
        </w:numPr>
        <w:autoSpaceDE w:val="0"/>
        <w:autoSpaceDN w:val="0"/>
        <w:adjustRightInd w:val="0"/>
        <w:spacing w:after="240" w:line="360" w:lineRule="auto"/>
        <w:ind w:left="0" w:firstLine="0"/>
        <w:contextualSpacing/>
        <w:jc w:val="both"/>
        <w:rPr>
          <w:rFonts w:ascii="Arial" w:hAnsi="Arial"/>
          <w:b/>
          <w:bCs/>
          <w:noProof w:val="0"/>
        </w:rPr>
      </w:pPr>
      <w:r w:rsidRPr="00AE33D8">
        <w:rPr>
          <w:rFonts w:ascii="Arial" w:hAnsi="Arial"/>
          <w:b/>
          <w:bCs/>
          <w:noProof w:val="0"/>
          <w:rtl/>
        </w:rPr>
        <w:t xml:space="preserve">סיכומו של דבר – אני מעריכה את הכנסת הנתבע בגין רווחיה הכלואים של חברת </w:t>
      </w:r>
      <w:r w:rsidR="006E4076">
        <w:rPr>
          <w:rFonts w:ascii="Arial" w:hAnsi="Arial" w:hint="cs"/>
          <w:b/>
          <w:bCs/>
          <w:noProof w:val="0"/>
        </w:rPr>
        <w:t>TTT</w:t>
      </w:r>
      <w:r w:rsidRPr="00AE33D8">
        <w:rPr>
          <w:rFonts w:ascii="Arial" w:hAnsi="Arial"/>
          <w:b/>
          <w:bCs/>
          <w:noProof w:val="0"/>
          <w:rtl/>
        </w:rPr>
        <w:t xml:space="preserve"> בסכום של 3,275 ₪ נטו לחודש.</w:t>
      </w:r>
    </w:p>
    <w:p w:rsidR="00AE33D8" w:rsidRPr="00AE33D8" w:rsidRDefault="00AE33D8" w:rsidP="00AE33D8">
      <w:pPr>
        <w:autoSpaceDE w:val="0"/>
        <w:autoSpaceDN w:val="0"/>
        <w:adjustRightInd w:val="0"/>
        <w:spacing w:after="240" w:line="360" w:lineRule="auto"/>
        <w:contextualSpacing/>
        <w:jc w:val="both"/>
        <w:rPr>
          <w:rFonts w:ascii="Arial" w:hAnsi="Arial"/>
          <w:noProof w:val="0"/>
        </w:rPr>
      </w:pPr>
    </w:p>
    <w:p w:rsidR="00AE33D8" w:rsidRPr="00AE33D8" w:rsidRDefault="00AE33D8" w:rsidP="00AE33D8">
      <w:pPr>
        <w:autoSpaceDE w:val="0"/>
        <w:autoSpaceDN w:val="0"/>
        <w:adjustRightInd w:val="0"/>
        <w:spacing w:after="240" w:line="360" w:lineRule="auto"/>
        <w:contextualSpacing/>
        <w:jc w:val="both"/>
        <w:rPr>
          <w:rFonts w:ascii="Arial" w:hAnsi="Arial"/>
          <w:b/>
          <w:bCs/>
          <w:noProof w:val="0"/>
          <w:u w:val="single"/>
          <w:rtl/>
        </w:rPr>
      </w:pPr>
      <w:r w:rsidRPr="00AE33D8">
        <w:rPr>
          <w:rFonts w:ascii="Arial" w:hAnsi="Arial"/>
          <w:b/>
          <w:bCs/>
          <w:noProof w:val="0"/>
          <w:u w:val="single"/>
          <w:rtl/>
        </w:rPr>
        <w:t>נכסי הנתבע והכנסתו מהשכרתם</w:t>
      </w:r>
    </w:p>
    <w:p w:rsidR="00AE33D8" w:rsidRPr="00AE33D8" w:rsidRDefault="00AE33D8" w:rsidP="00AE33D8">
      <w:pPr>
        <w:autoSpaceDE w:val="0"/>
        <w:autoSpaceDN w:val="0"/>
        <w:adjustRightInd w:val="0"/>
        <w:spacing w:after="240" w:line="360" w:lineRule="auto"/>
        <w:contextualSpacing/>
        <w:jc w:val="both"/>
        <w:rPr>
          <w:rFonts w:ascii="Arial" w:hAnsi="Arial"/>
          <w:noProof w:val="0"/>
          <w:rtl/>
        </w:rPr>
      </w:pPr>
    </w:p>
    <w:p w:rsidR="00AE33D8" w:rsidRPr="00AE33D8" w:rsidRDefault="00AE33D8" w:rsidP="00F12B46">
      <w:pPr>
        <w:numPr>
          <w:ilvl w:val="0"/>
          <w:numId w:val="11"/>
        </w:numPr>
        <w:autoSpaceDE w:val="0"/>
        <w:autoSpaceDN w:val="0"/>
        <w:adjustRightInd w:val="0"/>
        <w:spacing w:after="240" w:line="360" w:lineRule="auto"/>
        <w:ind w:left="0" w:firstLine="0"/>
        <w:contextualSpacing/>
        <w:jc w:val="both"/>
        <w:rPr>
          <w:rFonts w:ascii="Arial" w:hAnsi="Arial"/>
          <w:noProof w:val="0"/>
        </w:rPr>
      </w:pPr>
      <w:r w:rsidRPr="00AE33D8">
        <w:rPr>
          <w:rFonts w:ascii="David" w:hAnsi="David"/>
          <w:noProof w:val="0"/>
          <w:rtl/>
        </w:rPr>
        <w:t xml:space="preserve">בסמוך למועד נישואיהם, חתמו הצדדים על הסכם ממון אשר אושר על ידי נוטריון. במסגרת התיק הרכושי אותו מנהלים הצדדים, התעוררה שאלה בנוגע לעצם תוקפו של ההסכם הממון. הכרעה בשאלה זו איננה נדרשת לצורך קביעת המזונות, והיא תתברר באופן סופי במסגרת פסק הדין בהליך הרכושי. ואולם, משעה שבע"מ 919/15 מחייב לקחת בחשבון את כלל הנכסים והרכוש </w:t>
      </w:r>
      <w:r w:rsidRPr="00AE33D8">
        <w:rPr>
          <w:rFonts w:ascii="David" w:hAnsi="David"/>
          <w:b/>
          <w:bCs/>
          <w:noProof w:val="0"/>
          <w:rtl/>
        </w:rPr>
        <w:t>מכל מקור שהוא</w:t>
      </w:r>
      <w:r w:rsidRPr="00AE33D8">
        <w:rPr>
          <w:rFonts w:ascii="David" w:hAnsi="David"/>
          <w:noProof w:val="0"/>
          <w:rtl/>
        </w:rPr>
        <w:t xml:space="preserve"> - שומה על בית המשפט להידרש גם לתוכנו של הסכם הממון, וזאת לצורך הידיעה על אודות היקף הרכוש אשר שייך לנתבע</w:t>
      </w:r>
      <w:r w:rsidRPr="00AE33D8">
        <w:rPr>
          <w:rFonts w:ascii="Arial" w:hAnsi="Arial"/>
          <w:noProof w:val="0"/>
          <w:rtl/>
        </w:rPr>
        <w:t xml:space="preserve">. </w:t>
      </w:r>
    </w:p>
    <w:p w:rsidR="00AE33D8" w:rsidRPr="00AE33D8" w:rsidRDefault="00AE33D8" w:rsidP="00F12B46">
      <w:pPr>
        <w:spacing w:after="120" w:line="276" w:lineRule="auto"/>
        <w:contextualSpacing/>
        <w:rPr>
          <w:rFonts w:ascii="Arial" w:hAnsi="Arial"/>
          <w:noProof w:val="0"/>
        </w:rPr>
      </w:pPr>
    </w:p>
    <w:p w:rsidR="00AE33D8" w:rsidRPr="00AE33D8" w:rsidRDefault="00AE33D8" w:rsidP="00F12B46">
      <w:pPr>
        <w:numPr>
          <w:ilvl w:val="0"/>
          <w:numId w:val="11"/>
        </w:numPr>
        <w:spacing w:after="120" w:line="360" w:lineRule="auto"/>
        <w:ind w:left="0" w:firstLine="0"/>
        <w:contextualSpacing/>
        <w:jc w:val="both"/>
        <w:rPr>
          <w:rFonts w:ascii="Arial" w:hAnsi="Arial"/>
          <w:noProof w:val="0"/>
          <w:rtl/>
        </w:rPr>
      </w:pPr>
      <w:r w:rsidRPr="00AE33D8">
        <w:rPr>
          <w:rFonts w:ascii="Arial" w:hAnsi="Arial"/>
          <w:noProof w:val="0"/>
          <w:rtl/>
        </w:rPr>
        <w:t>במועד מתן ההחלטה למזונות זמניים המידע על אודות רכוש הנתבע, התבסס על הסכם הממון שנערך בין הצדדים בסמוך לנישואיהם, שלפיהם הנתבע החזיק בזכויות בעלות, בשיעורים שונים, בשישה נכסים שונים.</w:t>
      </w:r>
    </w:p>
    <w:p w:rsidR="00AE33D8" w:rsidRPr="00AE33D8" w:rsidRDefault="00AE33D8" w:rsidP="00F12B46">
      <w:pPr>
        <w:spacing w:after="120" w:line="276" w:lineRule="auto"/>
        <w:contextualSpacing/>
        <w:rPr>
          <w:rFonts w:ascii="Arial" w:hAnsi="Arial"/>
          <w:noProof w:val="0"/>
        </w:rPr>
      </w:pPr>
    </w:p>
    <w:p w:rsidR="00AE33D8" w:rsidRPr="00AE33D8" w:rsidRDefault="00AE33D8" w:rsidP="00F12B46">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בהמשך ההליך המשפטי, התבהר והתחדד המידע אשר לנכסי הנתבע, הן בעקבות ממצאי חוות הדעת, והן בעקבות התשתית הראייתית והעדויות שהונחו לפניי לאחר מכן, ושלגביו אין מחלוקת ושלפיו הנתבע אוחז בזכויות בעלות בנכסים שונים, כמפורט:</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AAA</w:t>
      </w:r>
      <w:r w:rsidR="006E4076">
        <w:rPr>
          <w:rFonts w:ascii="Arial" w:hAnsi="Arial" w:hint="cs"/>
          <w:noProof w:val="0"/>
          <w:rtl/>
        </w:rPr>
        <w:t xml:space="preserve"> </w:t>
      </w:r>
      <w:r w:rsidRPr="00AE33D8">
        <w:rPr>
          <w:rFonts w:ascii="Arial" w:hAnsi="Arial"/>
          <w:noProof w:val="0"/>
          <w:rtl/>
        </w:rPr>
        <w:t>ברמת השרון – 50% מזכויות הבעלות;</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BBB</w:t>
      </w:r>
      <w:r w:rsidRPr="00AE33D8">
        <w:rPr>
          <w:rFonts w:ascii="Arial" w:hAnsi="Arial"/>
          <w:noProof w:val="0"/>
          <w:rtl/>
        </w:rPr>
        <w:t xml:space="preserve"> ברמת השרון – 50% מזכויות הבעלות;</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CCC</w:t>
      </w:r>
      <w:r w:rsidRPr="00AE33D8">
        <w:rPr>
          <w:rFonts w:ascii="Arial" w:hAnsi="Arial"/>
          <w:noProof w:val="0"/>
          <w:rtl/>
        </w:rPr>
        <w:t xml:space="preserve"> ברמת גן – 50% מזכויות הבעלות;</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DDD</w:t>
      </w:r>
      <w:r w:rsidRPr="00AE33D8">
        <w:rPr>
          <w:rFonts w:ascii="Arial" w:hAnsi="Arial"/>
          <w:noProof w:val="0"/>
          <w:rtl/>
        </w:rPr>
        <w:t xml:space="preserve"> בבת-ים -  100% מזכויות הבעלות;</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EEE</w:t>
      </w:r>
      <w:r w:rsidRPr="00AE33D8">
        <w:rPr>
          <w:rFonts w:ascii="Arial" w:hAnsi="Arial"/>
          <w:noProof w:val="0"/>
          <w:rtl/>
        </w:rPr>
        <w:t xml:space="preserve">  בתל אביב – 100% מזכויות הבעלות;</w:t>
      </w:r>
    </w:p>
    <w:p w:rsidR="00AE33D8" w:rsidRPr="00AE33D8" w:rsidRDefault="00AE33D8" w:rsidP="006E4076">
      <w:pPr>
        <w:numPr>
          <w:ilvl w:val="0"/>
          <w:numId w:val="17"/>
        </w:numPr>
        <w:spacing w:after="240" w:line="360" w:lineRule="auto"/>
        <w:contextualSpacing/>
        <w:jc w:val="both"/>
        <w:rPr>
          <w:rFonts w:ascii="Arial" w:hAnsi="Arial"/>
          <w:noProof w:val="0"/>
        </w:rPr>
      </w:pPr>
      <w:r w:rsidRPr="00AE33D8">
        <w:rPr>
          <w:rFonts w:ascii="Arial" w:hAnsi="Arial"/>
          <w:noProof w:val="0"/>
          <w:rtl/>
        </w:rPr>
        <w:t xml:space="preserve">נכס ברחוב </w:t>
      </w:r>
      <w:r w:rsidR="006E4076">
        <w:rPr>
          <w:rFonts w:ascii="Arial" w:hAnsi="Arial" w:hint="cs"/>
          <w:noProof w:val="0"/>
        </w:rPr>
        <w:t>XXX</w:t>
      </w:r>
      <w:r w:rsidRPr="00AE33D8">
        <w:rPr>
          <w:rFonts w:ascii="Arial" w:hAnsi="Arial"/>
          <w:noProof w:val="0"/>
          <w:rtl/>
        </w:rPr>
        <w:t xml:space="preserve">  בתל אביב – 100% מזכויות הבעלות (להלן: "</w:t>
      </w:r>
      <w:r w:rsidRPr="00AE33D8">
        <w:rPr>
          <w:rFonts w:ascii="Arial" w:hAnsi="Arial"/>
          <w:b/>
          <w:bCs/>
          <w:noProof w:val="0"/>
          <w:rtl/>
        </w:rPr>
        <w:t xml:space="preserve">הפנטהאוז ברחוב </w:t>
      </w:r>
      <w:r w:rsidR="006E4076">
        <w:rPr>
          <w:rFonts w:ascii="Arial" w:hAnsi="Arial" w:hint="cs"/>
          <w:b/>
          <w:bCs/>
          <w:noProof w:val="0"/>
        </w:rPr>
        <w:t>XXX</w:t>
      </w:r>
      <w:r w:rsidRPr="00AE33D8">
        <w:rPr>
          <w:rFonts w:ascii="Arial" w:hAnsi="Arial"/>
          <w:noProof w:val="0"/>
          <w:rtl/>
        </w:rPr>
        <w:t>").</w:t>
      </w:r>
    </w:p>
    <w:p w:rsidR="00AE33D8" w:rsidRPr="00AE33D8" w:rsidRDefault="00F12B46" w:rsidP="00F12B46">
      <w:pPr>
        <w:spacing w:after="240" w:line="360" w:lineRule="auto"/>
        <w:ind w:left="6480" w:firstLine="40"/>
        <w:contextualSpacing/>
        <w:jc w:val="both"/>
        <w:rPr>
          <w:rFonts w:ascii="Arial" w:hAnsi="Arial"/>
          <w:noProof w:val="0"/>
        </w:rPr>
      </w:pPr>
      <w:r>
        <w:rPr>
          <w:rFonts w:ascii="Arial" w:hAnsi="Arial" w:hint="cs"/>
          <w:noProof w:val="0"/>
          <w:rtl/>
        </w:rPr>
        <w:lastRenderedPageBreak/>
        <w:t xml:space="preserve">     </w:t>
      </w:r>
      <w:r w:rsidR="00AE33D8" w:rsidRPr="00AE33D8">
        <w:rPr>
          <w:rFonts w:ascii="Arial" w:hAnsi="Arial"/>
          <w:noProof w:val="0"/>
          <w:rtl/>
        </w:rPr>
        <w:t>(להלן: "</w:t>
      </w:r>
      <w:r w:rsidR="00AE33D8" w:rsidRPr="00AE33D8">
        <w:rPr>
          <w:rFonts w:ascii="Arial" w:hAnsi="Arial"/>
          <w:b/>
          <w:bCs/>
          <w:noProof w:val="0"/>
          <w:rtl/>
        </w:rPr>
        <w:t>הנכסים</w:t>
      </w:r>
      <w:r w:rsidR="00AE33D8" w:rsidRPr="00AE33D8">
        <w:rPr>
          <w:rFonts w:ascii="Arial" w:hAnsi="Arial"/>
          <w:noProof w:val="0"/>
          <w:rtl/>
        </w:rPr>
        <w:t>")</w:t>
      </w:r>
    </w:p>
    <w:p w:rsidR="00AE33D8" w:rsidRPr="00AE33D8" w:rsidRDefault="00AE33D8" w:rsidP="00F12B46">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שיעור המס המנוכה בגין הכנסות הנתבע בנכסים הוא בשיעור של 10%, לפי סעיף 122 לפקודה.</w:t>
      </w:r>
    </w:p>
    <w:p w:rsidR="00AE33D8" w:rsidRPr="00AE33D8" w:rsidRDefault="00AE33D8" w:rsidP="00434AE3">
      <w:pPr>
        <w:spacing w:after="240"/>
        <w:contextualSpacing/>
        <w:jc w:val="both"/>
        <w:rPr>
          <w:rFonts w:ascii="Arial" w:hAnsi="Arial"/>
          <w:noProof w:val="0"/>
        </w:rPr>
      </w:pPr>
    </w:p>
    <w:p w:rsidR="00AE33D8" w:rsidRPr="00AE33D8" w:rsidRDefault="00AE33D8" w:rsidP="006E4076">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 xml:space="preserve">במועד עריכת חוות הדעת, לא היו בידי המומחה נתונים על אודות עצם השכרת הפנטהאוז ברחוב </w:t>
      </w:r>
      <w:r w:rsidR="006E4076">
        <w:rPr>
          <w:rFonts w:ascii="Arial" w:hAnsi="Arial" w:hint="cs"/>
          <w:noProof w:val="0"/>
        </w:rPr>
        <w:t>XXX</w:t>
      </w:r>
      <w:r w:rsidRPr="00AE33D8">
        <w:rPr>
          <w:rFonts w:ascii="Arial" w:hAnsi="Arial"/>
          <w:noProof w:val="0"/>
          <w:rtl/>
        </w:rPr>
        <w:t xml:space="preserve">, לא כל שכן על אודות גובה סכום שכר הדירה הנגבה בגינו. משכך נתונים אילו וההכנסות שבגינם לא נלקחו בחשבון במסגרת חוות הדעת.  </w:t>
      </w:r>
    </w:p>
    <w:p w:rsidR="00AE33D8" w:rsidRPr="00AE33D8" w:rsidRDefault="00AE33D8" w:rsidP="00AE33D8">
      <w:pPr>
        <w:spacing w:after="120" w:line="276" w:lineRule="auto"/>
        <w:contextualSpacing/>
        <w:rPr>
          <w:rFonts w:ascii="Arial" w:hAnsi="Arial"/>
          <w:noProof w:val="0"/>
        </w:rPr>
      </w:pPr>
    </w:p>
    <w:p w:rsidR="00AE33D8" w:rsidRPr="00AE33D8" w:rsidRDefault="00AE33D8" w:rsidP="006E4076">
      <w:pPr>
        <w:numPr>
          <w:ilvl w:val="0"/>
          <w:numId w:val="11"/>
        </w:numPr>
        <w:spacing w:after="240" w:line="360" w:lineRule="auto"/>
        <w:ind w:left="0" w:firstLine="0"/>
        <w:contextualSpacing/>
        <w:jc w:val="both"/>
        <w:rPr>
          <w:rFonts w:ascii="Arial" w:hAnsi="Arial"/>
          <w:b/>
          <w:bCs/>
          <w:noProof w:val="0"/>
          <w:rtl/>
        </w:rPr>
      </w:pPr>
      <w:r w:rsidRPr="00AE33D8">
        <w:rPr>
          <w:rFonts w:ascii="Arial" w:hAnsi="Arial"/>
          <w:b/>
          <w:bCs/>
          <w:noProof w:val="0"/>
          <w:rtl/>
        </w:rPr>
        <w:t xml:space="preserve">חוות הדעת מצאה, כי סכום הכנסתו החודשית הממוצעת של הנתבע הנובעת מהשכרת נכסיו (למעט הפנטהאוז ברחוב </w:t>
      </w:r>
      <w:r w:rsidR="006E4076">
        <w:rPr>
          <w:rFonts w:ascii="Arial" w:hAnsi="Arial" w:hint="cs"/>
          <w:b/>
          <w:bCs/>
          <w:noProof w:val="0"/>
        </w:rPr>
        <w:t>XXX</w:t>
      </w:r>
      <w:r w:rsidRPr="00AE33D8">
        <w:rPr>
          <w:rFonts w:ascii="Arial" w:hAnsi="Arial"/>
          <w:b/>
          <w:bCs/>
          <w:noProof w:val="0"/>
          <w:rtl/>
        </w:rPr>
        <w:t>) עומדת בסך של 19,976 ₪ נטו (ראו סע' 8 בעמ' 20 לחוות הדעת).</w:t>
      </w:r>
    </w:p>
    <w:p w:rsidR="00AE33D8" w:rsidRPr="00AE33D8" w:rsidRDefault="00AE33D8" w:rsidP="00AE33D8">
      <w:pPr>
        <w:spacing w:after="240" w:line="360" w:lineRule="auto"/>
        <w:ind w:left="720"/>
        <w:contextualSpacing/>
        <w:jc w:val="both"/>
        <w:rPr>
          <w:rFonts w:ascii="Arial" w:hAnsi="Arial"/>
          <w:noProof w:val="0"/>
        </w:rPr>
      </w:pPr>
    </w:p>
    <w:p w:rsidR="00AE33D8" w:rsidRPr="00AE33D8" w:rsidRDefault="00AE33D8" w:rsidP="00E400B2">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 xml:space="preserve">בעדותו העיד הנתבע, כי הכנסתו החודשית משכר הדירה המתקבל עבור השכרת הפנטאהוז ברחוב </w:t>
      </w:r>
      <w:r w:rsidR="006E4076">
        <w:rPr>
          <w:rFonts w:ascii="Arial" w:hAnsi="Arial" w:hint="cs"/>
          <w:noProof w:val="0"/>
        </w:rPr>
        <w:t>XXX</w:t>
      </w:r>
      <w:r w:rsidRPr="00AE33D8">
        <w:rPr>
          <w:rFonts w:ascii="Arial" w:hAnsi="Arial"/>
          <w:noProof w:val="0"/>
          <w:rtl/>
        </w:rPr>
        <w:t xml:space="preserve"> היא בסך של 14,000 ₪ לחודש (עמ' 96, שו' 22-21 לפרוטוקול). בסיכומיו טען הנתבע, כי הכנסתו החודשית בגין הפנטהאוז ברחוב </w:t>
      </w:r>
      <w:r w:rsidR="00E400B2">
        <w:rPr>
          <w:rFonts w:ascii="Arial" w:hAnsi="Arial" w:hint="cs"/>
          <w:noProof w:val="0"/>
        </w:rPr>
        <w:t>XXX</w:t>
      </w:r>
      <w:r w:rsidRPr="00AE33D8">
        <w:rPr>
          <w:rFonts w:ascii="Arial" w:hAnsi="Arial"/>
          <w:noProof w:val="0"/>
          <w:rtl/>
        </w:rPr>
        <w:t xml:space="preserve"> היא בסך של כ- 12,225 ₪ לחודש.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6E4076">
      <w:pPr>
        <w:spacing w:after="240" w:line="360" w:lineRule="auto"/>
        <w:ind w:firstLine="720"/>
        <w:contextualSpacing/>
        <w:jc w:val="both"/>
        <w:rPr>
          <w:rFonts w:ascii="Arial" w:hAnsi="Arial"/>
          <w:noProof w:val="0"/>
          <w:rtl/>
        </w:rPr>
      </w:pPr>
      <w:r w:rsidRPr="00AE33D8">
        <w:rPr>
          <w:rFonts w:ascii="Arial" w:hAnsi="Arial"/>
          <w:noProof w:val="0"/>
          <w:rtl/>
        </w:rPr>
        <w:t xml:space="preserve">מנגד, התובעת צירפה לסיכומיה פרסום להשכרת הפנטהאוז ברחוב </w:t>
      </w:r>
      <w:r w:rsidR="006E4076">
        <w:rPr>
          <w:rFonts w:ascii="Arial" w:hAnsi="Arial" w:hint="cs"/>
          <w:noProof w:val="0"/>
        </w:rPr>
        <w:t>XXX</w:t>
      </w:r>
      <w:r w:rsidRPr="00AE33D8">
        <w:rPr>
          <w:rFonts w:ascii="Arial" w:hAnsi="Arial"/>
          <w:noProof w:val="0"/>
          <w:rtl/>
        </w:rPr>
        <w:t xml:space="preserve"> בשכר דירה בסך של 17,741 ₪ ל-4 לילות (נספח 1 לסיכומיה). על דרך האומדנה (ועל הרף הנמוך), ולצורך החישוב הכולל, נראה כי יש להעריך את הכנסת שכר הדירה המתקבל בגין השכרת הפנטהאוז ברחוב </w:t>
      </w:r>
      <w:r w:rsidR="006E4076">
        <w:rPr>
          <w:rFonts w:ascii="Arial" w:hAnsi="Arial" w:hint="cs"/>
          <w:noProof w:val="0"/>
        </w:rPr>
        <w:t>XXX</w:t>
      </w:r>
      <w:r w:rsidRPr="00AE33D8">
        <w:rPr>
          <w:rFonts w:ascii="Arial" w:hAnsi="Arial"/>
          <w:noProof w:val="0"/>
          <w:rtl/>
        </w:rPr>
        <w:t xml:space="preserve"> בסך של כ- 15,000 ₪ נטו לחודש בממוצע. </w:t>
      </w:r>
      <w:r w:rsidRPr="00AE33D8">
        <w:rPr>
          <w:rFonts w:ascii="Arial" w:hAnsi="Arial"/>
          <w:b/>
          <w:bCs/>
          <w:noProof w:val="0"/>
          <w:rtl/>
        </w:rPr>
        <w:t>אין להקל ראש בהימנעות הנתבע מצירוף של הסכם שכר דירה בגין השכרת הדירה, כמתחייב בדין, ובפרט לנוכח התנהלות חוזרת זו של הנתבע לאורך כל ההליך</w:t>
      </w:r>
      <w:r w:rsidRPr="00AE33D8">
        <w:rPr>
          <w:rFonts w:ascii="Arial" w:hAnsi="Arial"/>
          <w:noProof w:val="0"/>
          <w:rtl/>
        </w:rPr>
        <w:t>.</w:t>
      </w:r>
    </w:p>
    <w:p w:rsidR="00AE33D8" w:rsidRPr="00AE33D8" w:rsidRDefault="00AE33D8" w:rsidP="00AE33D8">
      <w:pPr>
        <w:spacing w:after="240" w:line="360" w:lineRule="auto"/>
        <w:ind w:firstLine="720"/>
        <w:contextualSpacing/>
        <w:jc w:val="both"/>
        <w:rPr>
          <w:rFonts w:ascii="Arial" w:hAnsi="Arial"/>
          <w:noProof w:val="0"/>
          <w:rtl/>
        </w:rPr>
      </w:pPr>
    </w:p>
    <w:p w:rsidR="00AE33D8" w:rsidRPr="00AE33D8" w:rsidRDefault="00AE33D8" w:rsidP="00F12B46">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הנתבע חלק על סכום הכנסתו מתקבולי שכר הדירה, כפי שהוערכו בחוות הדעת, על רקע טענתו כי המומחה לא לקח במסגרת חישוביו את סכומי החזרי המשכנתאות, שהוא משלם בגין הנכסים ואת הוצאות אחזקת הנכסים. המומחה בחן את טענותיו אילו של הנתבע ודחה אותן בנימוקים הבאים:</w:t>
      </w:r>
    </w:p>
    <w:p w:rsidR="00AE33D8" w:rsidRPr="00AE33D8" w:rsidRDefault="00AE33D8" w:rsidP="00AE33D8">
      <w:pPr>
        <w:spacing w:after="240" w:line="360" w:lineRule="auto"/>
        <w:contextualSpacing/>
        <w:jc w:val="both"/>
        <w:rPr>
          <w:rFonts w:ascii="Arial" w:hAnsi="Arial"/>
          <w:noProof w:val="0"/>
        </w:rPr>
      </w:pPr>
    </w:p>
    <w:p w:rsidR="00AE33D8" w:rsidRDefault="00AE33D8" w:rsidP="006E4076">
      <w:pPr>
        <w:numPr>
          <w:ilvl w:val="0"/>
          <w:numId w:val="18"/>
        </w:numPr>
        <w:spacing w:after="240" w:line="360" w:lineRule="auto"/>
        <w:ind w:left="708" w:hanging="567"/>
        <w:contextualSpacing/>
        <w:jc w:val="both"/>
        <w:rPr>
          <w:rFonts w:ascii="Arial" w:hAnsi="Arial"/>
          <w:noProof w:val="0"/>
        </w:rPr>
      </w:pPr>
      <w:r w:rsidRPr="00AE33D8">
        <w:rPr>
          <w:rFonts w:ascii="Arial" w:hAnsi="Arial"/>
          <w:noProof w:val="0"/>
          <w:rtl/>
        </w:rPr>
        <w:t xml:space="preserve">בניגוד לטענת הנתבע, נוכו הוצאות אחזקה עבור נכסים המהווים דירות מחולקות, היות שבנכסים מעין אלה המשכיר, ובעניינו הנתבע, נושא בהוצאות האחזקה. נכסי הנתבע שמהכנסתם קוזזו הוצאות אחזקה בהיותם דירות מחולקות הם: הנכס ברחוב </w:t>
      </w:r>
      <w:r w:rsidR="006E4076">
        <w:rPr>
          <w:rFonts w:ascii="Arial" w:hAnsi="Arial" w:hint="cs"/>
          <w:noProof w:val="0"/>
        </w:rPr>
        <w:t>AAA</w:t>
      </w:r>
      <w:r w:rsidR="006E4076">
        <w:rPr>
          <w:rFonts w:ascii="Arial" w:hAnsi="Arial" w:hint="cs"/>
          <w:noProof w:val="0"/>
          <w:rtl/>
        </w:rPr>
        <w:t xml:space="preserve"> </w:t>
      </w:r>
      <w:r w:rsidRPr="00AE33D8">
        <w:rPr>
          <w:rFonts w:ascii="Arial" w:hAnsi="Arial"/>
          <w:noProof w:val="0"/>
          <w:rtl/>
        </w:rPr>
        <w:t xml:space="preserve">ברמת השרון, הנכס ברחוב </w:t>
      </w:r>
      <w:r w:rsidR="006E4076">
        <w:rPr>
          <w:rFonts w:ascii="Arial" w:hAnsi="Arial" w:hint="cs"/>
          <w:noProof w:val="0"/>
        </w:rPr>
        <w:t>BBB</w:t>
      </w:r>
      <w:r w:rsidRPr="00AE33D8">
        <w:rPr>
          <w:rFonts w:ascii="Arial" w:hAnsi="Arial"/>
          <w:noProof w:val="0"/>
          <w:rtl/>
        </w:rPr>
        <w:t xml:space="preserve"> ברמת השרון והנכס ברחוב </w:t>
      </w:r>
      <w:r w:rsidR="006E4076">
        <w:rPr>
          <w:rFonts w:ascii="Arial" w:hAnsi="Arial" w:hint="cs"/>
          <w:noProof w:val="0"/>
        </w:rPr>
        <w:t>CCC</w:t>
      </w:r>
      <w:r w:rsidRPr="00AE33D8">
        <w:rPr>
          <w:rFonts w:ascii="Arial" w:hAnsi="Arial"/>
          <w:noProof w:val="0"/>
          <w:rtl/>
        </w:rPr>
        <w:t xml:space="preserve"> ברמת-גן;</w:t>
      </w:r>
    </w:p>
    <w:p w:rsidR="00960E29" w:rsidRPr="00AE33D8" w:rsidRDefault="00960E29" w:rsidP="00960E29">
      <w:pPr>
        <w:spacing w:after="240" w:line="360" w:lineRule="auto"/>
        <w:ind w:left="708"/>
        <w:contextualSpacing/>
        <w:jc w:val="both"/>
        <w:rPr>
          <w:rFonts w:ascii="Arial" w:hAnsi="Arial"/>
          <w:noProof w:val="0"/>
          <w:rtl/>
        </w:rPr>
      </w:pPr>
    </w:p>
    <w:p w:rsidR="00AE33D8" w:rsidRDefault="00AE33D8" w:rsidP="006E4076">
      <w:pPr>
        <w:numPr>
          <w:ilvl w:val="0"/>
          <w:numId w:val="18"/>
        </w:numPr>
        <w:spacing w:after="240" w:line="360" w:lineRule="auto"/>
        <w:ind w:left="708" w:hanging="567"/>
        <w:contextualSpacing/>
        <w:jc w:val="both"/>
        <w:rPr>
          <w:rFonts w:ascii="Arial" w:hAnsi="Arial"/>
          <w:noProof w:val="0"/>
        </w:rPr>
      </w:pPr>
      <w:r w:rsidRPr="00AE33D8">
        <w:rPr>
          <w:rFonts w:ascii="Arial" w:hAnsi="Arial"/>
          <w:noProof w:val="0"/>
          <w:rtl/>
        </w:rPr>
        <w:lastRenderedPageBreak/>
        <w:t xml:space="preserve">המומחה לא קיזז הוצאות אחזקה בגין הדירות שאינן מחולקות, היות ועל השוכר לשאת בהוצאות אלו, ולא על המשכיר/הנתבע. על כן, לא קוזזו הוצאות אחזקה בגין הנכס ברחוב </w:t>
      </w:r>
      <w:r w:rsidR="006E4076">
        <w:rPr>
          <w:rFonts w:ascii="Arial" w:hAnsi="Arial" w:hint="cs"/>
          <w:noProof w:val="0"/>
        </w:rPr>
        <w:t>DDD</w:t>
      </w:r>
      <w:r w:rsidRPr="00AE33D8">
        <w:rPr>
          <w:rFonts w:ascii="Arial" w:hAnsi="Arial"/>
          <w:noProof w:val="0"/>
          <w:rtl/>
        </w:rPr>
        <w:t xml:space="preserve"> בבת ים וברחוב </w:t>
      </w:r>
      <w:r w:rsidR="006E4076">
        <w:rPr>
          <w:rFonts w:ascii="Arial" w:hAnsi="Arial" w:hint="cs"/>
          <w:noProof w:val="0"/>
        </w:rPr>
        <w:t>EEE</w:t>
      </w:r>
      <w:r w:rsidRPr="00AE33D8">
        <w:rPr>
          <w:rFonts w:ascii="Arial" w:hAnsi="Arial"/>
          <w:noProof w:val="0"/>
          <w:rtl/>
        </w:rPr>
        <w:t xml:space="preserve"> בתל אביב. אמנם, כאמור, הפנטהאוז ברחוב </w:t>
      </w:r>
      <w:r w:rsidR="006E4076">
        <w:rPr>
          <w:rFonts w:ascii="Arial" w:hAnsi="Arial" w:hint="cs"/>
          <w:noProof w:val="0"/>
        </w:rPr>
        <w:t>XXX</w:t>
      </w:r>
      <w:r w:rsidRPr="00AE33D8">
        <w:rPr>
          <w:rFonts w:ascii="Arial" w:hAnsi="Arial"/>
          <w:noProof w:val="0"/>
          <w:rtl/>
        </w:rPr>
        <w:t xml:space="preserve"> לא נכלל בחוות הדעת, אך בהיותו לא מחולק, אין לקזז בגינו הוצאות אחזקה. נראה גם שבשל סיבה זו לא הגיש הנתבע לבית המשפט ולמומחה תימוכין על אודות הוצאות שנשא בגין נכסים אלו;</w:t>
      </w:r>
    </w:p>
    <w:p w:rsidR="00960E29" w:rsidRDefault="00960E29" w:rsidP="00960E29">
      <w:pPr>
        <w:spacing w:after="240" w:line="360" w:lineRule="auto"/>
        <w:ind w:left="708"/>
        <w:contextualSpacing/>
        <w:jc w:val="both"/>
        <w:rPr>
          <w:rFonts w:ascii="Arial" w:hAnsi="Arial"/>
          <w:noProof w:val="0"/>
        </w:rPr>
      </w:pPr>
    </w:p>
    <w:p w:rsidR="00AE33D8" w:rsidRDefault="00AE33D8" w:rsidP="00E400B2">
      <w:pPr>
        <w:numPr>
          <w:ilvl w:val="0"/>
          <w:numId w:val="18"/>
        </w:numPr>
        <w:spacing w:after="240" w:line="360" w:lineRule="auto"/>
        <w:ind w:left="708" w:hanging="567"/>
        <w:contextualSpacing/>
        <w:jc w:val="both"/>
        <w:rPr>
          <w:rFonts w:ascii="Arial" w:hAnsi="Arial"/>
          <w:noProof w:val="0"/>
        </w:rPr>
      </w:pPr>
      <w:r w:rsidRPr="00AE33D8">
        <w:rPr>
          <w:rFonts w:ascii="Arial" w:hAnsi="Arial"/>
          <w:noProof w:val="0"/>
          <w:rtl/>
        </w:rPr>
        <w:t xml:space="preserve">הלוואת המשכנתה הרובצת על הנכס ברחוב </w:t>
      </w:r>
      <w:r w:rsidR="006E4076">
        <w:rPr>
          <w:rFonts w:ascii="Arial" w:hAnsi="Arial" w:hint="cs"/>
          <w:noProof w:val="0"/>
        </w:rPr>
        <w:t>DDD</w:t>
      </w:r>
      <w:r w:rsidRPr="00AE33D8">
        <w:rPr>
          <w:rFonts w:ascii="Arial" w:hAnsi="Arial"/>
          <w:noProof w:val="0"/>
          <w:rtl/>
        </w:rPr>
        <w:t xml:space="preserve"> בבת ים – הנכס שועבד לטובת הלוואה בחברת </w:t>
      </w:r>
      <w:r w:rsidR="006E4076">
        <w:rPr>
          <w:rFonts w:ascii="Arial" w:hAnsi="Arial" w:hint="cs"/>
          <w:noProof w:val="0"/>
        </w:rPr>
        <w:t>TTT</w:t>
      </w:r>
      <w:r w:rsidRPr="00AE33D8">
        <w:rPr>
          <w:rFonts w:ascii="Arial" w:hAnsi="Arial"/>
          <w:noProof w:val="0"/>
          <w:rtl/>
        </w:rPr>
        <w:t xml:space="preserve">. לפי תשובת המומחה, החזר ההלוואה בגין נכס זה נלקח בחשבון, כהוצאות פחת שהופחתו מרווחי חברת </w:t>
      </w:r>
      <w:r w:rsidR="00E400B2">
        <w:rPr>
          <w:rFonts w:ascii="Arial" w:hAnsi="Arial" w:hint="cs"/>
          <w:noProof w:val="0"/>
        </w:rPr>
        <w:t>TTT</w:t>
      </w:r>
      <w:r w:rsidRPr="00AE33D8">
        <w:rPr>
          <w:rFonts w:ascii="Arial" w:hAnsi="Arial"/>
          <w:noProof w:val="0"/>
          <w:rtl/>
        </w:rPr>
        <w:t xml:space="preserve">, וכפועל יוצא – הופחתו הרווחים הכלואים שנזקפו לטובת הנתבע מחברת </w:t>
      </w:r>
      <w:r w:rsidR="006E4076">
        <w:rPr>
          <w:rFonts w:ascii="Arial" w:hAnsi="Arial" w:hint="cs"/>
          <w:noProof w:val="0"/>
        </w:rPr>
        <w:t>TTT</w:t>
      </w:r>
      <w:r w:rsidRPr="00AE33D8">
        <w:rPr>
          <w:rFonts w:ascii="Arial" w:hAnsi="Arial"/>
          <w:noProof w:val="0"/>
          <w:rtl/>
        </w:rPr>
        <w:t>;</w:t>
      </w:r>
    </w:p>
    <w:p w:rsidR="00960E29" w:rsidRPr="00AE33D8" w:rsidRDefault="00960E29" w:rsidP="00960E29">
      <w:pPr>
        <w:spacing w:after="240" w:line="360" w:lineRule="auto"/>
        <w:ind w:left="708"/>
        <w:contextualSpacing/>
        <w:jc w:val="both"/>
        <w:rPr>
          <w:rFonts w:ascii="Arial" w:hAnsi="Arial"/>
          <w:noProof w:val="0"/>
        </w:rPr>
      </w:pPr>
    </w:p>
    <w:p w:rsidR="00AE33D8" w:rsidRPr="00AE33D8" w:rsidRDefault="00AE33D8" w:rsidP="006E4076">
      <w:pPr>
        <w:numPr>
          <w:ilvl w:val="0"/>
          <w:numId w:val="18"/>
        </w:numPr>
        <w:spacing w:after="240" w:line="360" w:lineRule="auto"/>
        <w:ind w:left="708" w:hanging="567"/>
        <w:contextualSpacing/>
        <w:jc w:val="both"/>
        <w:rPr>
          <w:rFonts w:ascii="Arial" w:hAnsi="Arial"/>
          <w:noProof w:val="0"/>
        </w:rPr>
      </w:pPr>
      <w:r w:rsidRPr="00AE33D8">
        <w:rPr>
          <w:rFonts w:ascii="Arial" w:hAnsi="Arial"/>
          <w:noProof w:val="0"/>
          <w:rtl/>
        </w:rPr>
        <w:t xml:space="preserve">המשכנתה הרובצת על הנכס ברחוב </w:t>
      </w:r>
      <w:r w:rsidR="006E4076">
        <w:rPr>
          <w:rFonts w:ascii="Arial" w:hAnsi="Arial" w:hint="cs"/>
          <w:noProof w:val="0"/>
        </w:rPr>
        <w:t>EEE</w:t>
      </w:r>
      <w:r w:rsidRPr="00AE33D8">
        <w:rPr>
          <w:rFonts w:ascii="Arial" w:hAnsi="Arial"/>
          <w:noProof w:val="0"/>
          <w:rtl/>
        </w:rPr>
        <w:t xml:space="preserve"> בתל אביב – הנתבע נדרש להמציא לידי המומחה מסמכים שונים לשם בחינתו טענתו זו לשם עדכון חוות הדעת (ראו סעיף 4 לתשובה מספר 2 בעמוד 3 לתשובות המומחה).</w:t>
      </w:r>
      <w:r w:rsidRPr="00AE33D8">
        <w:rPr>
          <w:rFonts w:ascii="Arial" w:hAnsi="Arial"/>
          <w:noProof w:val="0"/>
        </w:rPr>
        <w:t xml:space="preserve"> </w:t>
      </w:r>
      <w:r w:rsidRPr="00AE33D8">
        <w:rPr>
          <w:rFonts w:ascii="Arial" w:hAnsi="Arial"/>
          <w:noProof w:val="0"/>
          <w:rtl/>
        </w:rPr>
        <w:t>כהרגלו, הנתבע בחר שלא להמציאם.</w:t>
      </w:r>
    </w:p>
    <w:p w:rsidR="00AE33D8" w:rsidRPr="00AE33D8" w:rsidRDefault="00AE33D8" w:rsidP="00AE33D8">
      <w:pPr>
        <w:spacing w:after="240" w:line="360" w:lineRule="auto"/>
        <w:ind w:left="142"/>
        <w:contextualSpacing/>
        <w:jc w:val="both"/>
        <w:rPr>
          <w:rFonts w:ascii="Arial" w:hAnsi="Arial"/>
          <w:noProof w:val="0"/>
        </w:rPr>
      </w:pPr>
    </w:p>
    <w:p w:rsidR="00AE33D8" w:rsidRPr="00AE33D8" w:rsidRDefault="00AE33D8" w:rsidP="006E4076">
      <w:pPr>
        <w:spacing w:after="120" w:line="360" w:lineRule="auto"/>
        <w:contextualSpacing/>
        <w:jc w:val="both"/>
        <w:rPr>
          <w:rFonts w:ascii="Arial" w:hAnsi="Arial"/>
          <w:noProof w:val="0"/>
        </w:rPr>
      </w:pPr>
      <w:r w:rsidRPr="00AE33D8">
        <w:rPr>
          <w:rFonts w:ascii="Arial" w:hAnsi="Arial"/>
          <w:b/>
          <w:bCs/>
          <w:noProof w:val="0"/>
          <w:rtl/>
        </w:rPr>
        <w:tab/>
      </w:r>
      <w:r w:rsidRPr="00AE33D8">
        <w:rPr>
          <w:rFonts w:ascii="Arial" w:hAnsi="Arial"/>
          <w:noProof w:val="0"/>
          <w:rtl/>
        </w:rPr>
        <w:t xml:space="preserve">חרף האפשרות שניתנה לנתבע להמציא מסמכים על מנת שניתן יהיה לאמוד את טענותיו נמנע הנתבע מהמצאתם פעם אחר פעם. בדומה לכך, הנתבע לא הגיש לבית המשפט מסמכים לגבי הלוואת המשכנתה, שלשיטתו נטל, בגין הפנטהאוז ברחוב </w:t>
      </w:r>
      <w:r w:rsidR="006E4076">
        <w:rPr>
          <w:rFonts w:ascii="Arial" w:hAnsi="Arial" w:hint="cs"/>
          <w:noProof w:val="0"/>
        </w:rPr>
        <w:t>XXX</w:t>
      </w:r>
      <w:r w:rsidRPr="00AE33D8">
        <w:rPr>
          <w:rFonts w:ascii="Arial" w:hAnsi="Arial"/>
          <w:noProof w:val="0"/>
          <w:rtl/>
        </w:rPr>
        <w:t xml:space="preserve">. לפי הפסיקה, הימנעות זו משמשת לחובת הנתבע (ראו: </w:t>
      </w:r>
      <w:r w:rsidRPr="00AE33D8">
        <w:rPr>
          <w:rFonts w:ascii="Arial" w:hAnsi="Arial"/>
          <w:b/>
          <w:bCs/>
          <w:noProof w:val="0"/>
          <w:rtl/>
        </w:rPr>
        <w:t>הלכת שוורץ</w:t>
      </w:r>
      <w:r w:rsidRPr="00AE33D8">
        <w:rPr>
          <w:rFonts w:ascii="Arial" w:hAnsi="Arial"/>
          <w:noProof w:val="0"/>
          <w:rtl/>
        </w:rPr>
        <w:t>). הנה כי כן, אין לנתבע אלא להלין על עצמו בלבד.</w:t>
      </w:r>
    </w:p>
    <w:p w:rsidR="00AE33D8" w:rsidRPr="00AE33D8" w:rsidRDefault="00AE33D8" w:rsidP="00AE33D8">
      <w:pPr>
        <w:spacing w:after="120" w:line="360" w:lineRule="auto"/>
        <w:contextualSpacing/>
        <w:jc w:val="both"/>
        <w:rPr>
          <w:rFonts w:ascii="Arial" w:hAnsi="Arial"/>
          <w:noProof w:val="0"/>
          <w:rtl/>
        </w:rPr>
      </w:pPr>
    </w:p>
    <w:p w:rsidR="00AE33D8" w:rsidRPr="00AE33D8" w:rsidRDefault="00AE33D8" w:rsidP="006E4076">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 xml:space="preserve">הנה כי כן, אני מוצאת לאמץ את הקבוע בחוות הדעת לעניין הכנסתו החודשית של הנתבע משכר הדירה בגין השכרת נכסיו כעומדת בסך של </w:t>
      </w:r>
      <w:r w:rsidRPr="00AE33D8">
        <w:rPr>
          <w:rFonts w:ascii="Arial" w:hAnsi="Arial"/>
          <w:b/>
          <w:bCs/>
          <w:noProof w:val="0"/>
          <w:rtl/>
        </w:rPr>
        <w:t>19,976 ₪ נטו לחודש</w:t>
      </w:r>
      <w:r w:rsidRPr="00AE33D8">
        <w:rPr>
          <w:rFonts w:ascii="Arial" w:hAnsi="Arial"/>
          <w:noProof w:val="0"/>
          <w:rtl/>
        </w:rPr>
        <w:t xml:space="preserve">, ובצירוף שכר הדירה המוערך בגין השכרת הדירה ברחוב </w:t>
      </w:r>
      <w:r w:rsidR="006E4076">
        <w:rPr>
          <w:rFonts w:ascii="Arial" w:hAnsi="Arial" w:hint="cs"/>
          <w:noProof w:val="0"/>
        </w:rPr>
        <w:t>XXX</w:t>
      </w:r>
      <w:r w:rsidRPr="00AE33D8">
        <w:rPr>
          <w:rFonts w:ascii="Arial" w:hAnsi="Arial"/>
          <w:noProof w:val="0"/>
          <w:rtl/>
        </w:rPr>
        <w:t xml:space="preserve"> (שכאמור, לא נכללה בחוות הדעת), יש לקבוע כי הכנסתו החודשית של הנתבע בגין השכרת הנכסים עומדת בסך של </w:t>
      </w:r>
      <w:r w:rsidRPr="00AE33D8">
        <w:rPr>
          <w:rFonts w:ascii="Arial" w:hAnsi="Arial"/>
          <w:b/>
          <w:bCs/>
          <w:noProof w:val="0"/>
          <w:rtl/>
        </w:rPr>
        <w:t>34,976 ₪ נטו לחודש</w:t>
      </w:r>
      <w:r w:rsidRPr="00AE33D8">
        <w:rPr>
          <w:rFonts w:ascii="Arial" w:hAnsi="Arial"/>
          <w:noProof w:val="0"/>
          <w:rtl/>
        </w:rPr>
        <w:t>.</w:t>
      </w:r>
    </w:p>
    <w:p w:rsidR="00AE33D8" w:rsidRPr="00AE33D8" w:rsidRDefault="00AE33D8" w:rsidP="00AE33D8">
      <w:pPr>
        <w:spacing w:after="240" w:line="360" w:lineRule="auto"/>
        <w:contextualSpacing/>
        <w:jc w:val="both"/>
        <w:rPr>
          <w:rFonts w:ascii="Arial" w:hAnsi="Arial"/>
          <w:noProof w:val="0"/>
        </w:rPr>
      </w:pPr>
    </w:p>
    <w:p w:rsidR="00AE33D8" w:rsidRPr="00AE33D8" w:rsidRDefault="00AE33D8" w:rsidP="006E4076">
      <w:pPr>
        <w:numPr>
          <w:ilvl w:val="0"/>
          <w:numId w:val="11"/>
        </w:numPr>
        <w:spacing w:after="240" w:line="360" w:lineRule="auto"/>
        <w:ind w:left="-1" w:firstLine="1"/>
        <w:contextualSpacing/>
        <w:jc w:val="both"/>
        <w:rPr>
          <w:rFonts w:ascii="Arial" w:hAnsi="Arial"/>
          <w:noProof w:val="0"/>
        </w:rPr>
      </w:pPr>
      <w:r w:rsidRPr="00AE33D8">
        <w:rPr>
          <w:rFonts w:ascii="Arial" w:hAnsi="Arial"/>
          <w:noProof w:val="0"/>
          <w:rtl/>
        </w:rPr>
        <w:t xml:space="preserve"> </w:t>
      </w:r>
      <w:r w:rsidRPr="00AE33D8">
        <w:rPr>
          <w:rFonts w:ascii="Arial" w:hAnsi="Arial" w:hint="cs"/>
          <w:noProof w:val="0"/>
          <w:rtl/>
        </w:rPr>
        <w:t xml:space="preserve">המומחה העריך את הכנסתו הכוללת של הנתבע מכלל מקורות הכנסתו (ממשכורתו, משכר הדירה בגין הנכסים (מלבד הנכס ברחוב </w:t>
      </w:r>
      <w:r w:rsidR="006E4076">
        <w:rPr>
          <w:rFonts w:ascii="Arial" w:hAnsi="Arial" w:hint="cs"/>
          <w:noProof w:val="0"/>
        </w:rPr>
        <w:t>XXX</w:t>
      </w:r>
      <w:r w:rsidRPr="00AE33D8">
        <w:rPr>
          <w:rFonts w:ascii="Arial" w:hAnsi="Arial" w:hint="cs"/>
          <w:noProof w:val="0"/>
          <w:rtl/>
        </w:rPr>
        <w:t xml:space="preserve">), מדיבידנד לפי סעיף 3(ט1)(1) לפקודה, שכר ראוי ודיבידנד חודשי מרווחים כלואים) בסך של כ- </w:t>
      </w:r>
      <w:r w:rsidRPr="00AE33D8">
        <w:rPr>
          <w:rFonts w:ascii="Arial" w:hAnsi="Arial" w:hint="cs"/>
          <w:b/>
          <w:bCs/>
          <w:noProof w:val="0"/>
          <w:rtl/>
        </w:rPr>
        <w:t xml:space="preserve">57,968 ₪ נטו </w:t>
      </w:r>
      <w:r w:rsidRPr="00AE33D8">
        <w:rPr>
          <w:rFonts w:ascii="Arial" w:hAnsi="Arial" w:hint="cs"/>
          <w:noProof w:val="0"/>
          <w:rtl/>
        </w:rPr>
        <w:t xml:space="preserve">לחודש. </w:t>
      </w:r>
    </w:p>
    <w:p w:rsidR="00AE33D8" w:rsidRPr="00AE33D8" w:rsidRDefault="00AE33D8" w:rsidP="004F504D">
      <w:pPr>
        <w:spacing w:after="120" w:line="276" w:lineRule="auto"/>
        <w:ind w:left="720" w:firstLine="1"/>
        <w:contextualSpacing/>
        <w:rPr>
          <w:rFonts w:ascii="Arial" w:hAnsi="Arial"/>
          <w:noProof w:val="0"/>
        </w:rPr>
      </w:pPr>
    </w:p>
    <w:p w:rsidR="00AE33D8" w:rsidRPr="00AE33D8" w:rsidRDefault="00AE33D8" w:rsidP="006E4076">
      <w:pPr>
        <w:spacing w:after="240" w:line="360" w:lineRule="auto"/>
        <w:ind w:left="-1" w:firstLine="721"/>
        <w:contextualSpacing/>
        <w:jc w:val="both"/>
        <w:rPr>
          <w:rFonts w:ascii="Arial" w:hAnsi="Arial"/>
          <w:noProof w:val="0"/>
          <w:rtl/>
        </w:rPr>
      </w:pPr>
      <w:r w:rsidRPr="00AE33D8">
        <w:rPr>
          <w:rFonts w:ascii="Arial" w:hAnsi="Arial"/>
          <w:noProof w:val="0"/>
          <w:rtl/>
        </w:rPr>
        <w:t xml:space="preserve">הכנסתו החודשית של הנתבע מהשכרת הפנטאהוז ברחוב </w:t>
      </w:r>
      <w:r w:rsidR="006E4076">
        <w:rPr>
          <w:rFonts w:ascii="Arial" w:hAnsi="Arial" w:hint="cs"/>
          <w:noProof w:val="0"/>
        </w:rPr>
        <w:t>XXX</w:t>
      </w:r>
      <w:r w:rsidRPr="00AE33D8">
        <w:rPr>
          <w:rFonts w:ascii="Arial" w:hAnsi="Arial"/>
          <w:noProof w:val="0"/>
          <w:rtl/>
        </w:rPr>
        <w:t xml:space="preserve"> לא נכללה בחוות הדעת. הכנסה חודשית זו הוערכה על ידי, על דרך האומדנה, בסכום של </w:t>
      </w:r>
      <w:r w:rsidRPr="00AE33D8">
        <w:rPr>
          <w:rFonts w:ascii="Arial" w:hAnsi="Arial"/>
          <w:b/>
          <w:bCs/>
          <w:noProof w:val="0"/>
          <w:rtl/>
        </w:rPr>
        <w:t>15,000 ₪ נטו לחודש.</w:t>
      </w:r>
    </w:p>
    <w:p w:rsidR="00AE33D8" w:rsidRPr="00AE33D8" w:rsidRDefault="00AE33D8" w:rsidP="00AE33D8">
      <w:pPr>
        <w:spacing w:after="240" w:line="360" w:lineRule="auto"/>
        <w:ind w:left="-1" w:firstLine="721"/>
        <w:contextualSpacing/>
        <w:jc w:val="both"/>
        <w:rPr>
          <w:rFonts w:ascii="Arial" w:hAnsi="Arial"/>
          <w:noProof w:val="0"/>
          <w:rtl/>
        </w:rPr>
      </w:pPr>
    </w:p>
    <w:p w:rsidR="00AE33D8" w:rsidRPr="00AE33D8" w:rsidRDefault="006E4076" w:rsidP="005F7457">
      <w:pPr>
        <w:numPr>
          <w:ilvl w:val="0"/>
          <w:numId w:val="11"/>
        </w:numPr>
        <w:spacing w:after="120" w:line="360" w:lineRule="auto"/>
        <w:ind w:left="567" w:hanging="567"/>
        <w:contextualSpacing/>
        <w:jc w:val="both"/>
        <w:rPr>
          <w:rFonts w:ascii="Arial" w:hAnsi="Arial"/>
          <w:b/>
          <w:bCs/>
          <w:noProof w:val="0"/>
          <w:rtl/>
        </w:rPr>
      </w:pPr>
      <w:r w:rsidRPr="00AE33D8">
        <w:rPr>
          <w:rtl/>
        </w:rPr>
        <w:lastRenderedPageBreak/>
        <mc:AlternateContent>
          <mc:Choice Requires="wps">
            <w:drawing>
              <wp:anchor distT="0" distB="0" distL="114300" distR="114300" simplePos="0" relativeHeight="251664384" behindDoc="1" locked="0" layoutInCell="1" allowOverlap="1" wp14:anchorId="08765C51" wp14:editId="67AF5184">
                <wp:simplePos x="0" y="0"/>
                <wp:positionH relativeFrom="column">
                  <wp:posOffset>-158750</wp:posOffset>
                </wp:positionH>
                <wp:positionV relativeFrom="paragraph">
                  <wp:posOffset>-60932</wp:posOffset>
                </wp:positionV>
                <wp:extent cx="5550795" cy="514985"/>
                <wp:effectExtent l="57150" t="38100" r="69215" b="94615"/>
                <wp:wrapNone/>
                <wp:docPr id="38" name="מלבן 11"/>
                <wp:cNvGraphicFramePr/>
                <a:graphic xmlns:a="http://schemas.openxmlformats.org/drawingml/2006/main">
                  <a:graphicData uri="http://schemas.microsoft.com/office/word/2010/wordprocessingShape">
                    <wps:wsp>
                      <wps:cNvSpPr/>
                      <wps:spPr>
                        <a:xfrm>
                          <a:off x="0" y="0"/>
                          <a:ext cx="5550795" cy="514985"/>
                        </a:xfrm>
                        <a:prstGeom prst="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F4EA235" id="מלבן 11" o:spid="_x0000_s1026" style="position:absolute;left:0;text-align:left;margin-left:-12.5pt;margin-top:-4.8pt;width:437.05pt;height:40.5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" fillcolor="#bcbcbc">
                <v:fill color2="#ededed" rotate="t" angle="180" colors="0 #bcbcbc;22938f #d0d0d0;1 #ededed" focus="100%" type="gradient"/>
                <v:shadow on="t" color="black" opacity="24903f" origin=",.5" offset="0,.55556mm"/>
              </v:rect>
            </w:pict>
          </mc:Fallback>
        </mc:AlternateContent>
      </w:r>
      <w:r w:rsidR="00AE33D8" w:rsidRPr="00AE33D8">
        <w:rPr>
          <w:rFonts w:ascii="Arial" w:hAnsi="Arial"/>
          <w:b/>
          <w:bCs/>
          <w:noProof w:val="0"/>
          <w:rtl/>
        </w:rPr>
        <w:t>סיכומו של דבר – הכנסתו החודשית הכוללת של הנתבע מסך כל נכסיו מוער</w:t>
      </w:r>
      <w:r w:rsidR="004F504D">
        <w:rPr>
          <w:rFonts w:ascii="Arial" w:hAnsi="Arial" w:hint="cs"/>
          <w:b/>
          <w:bCs/>
          <w:noProof w:val="0"/>
          <w:rtl/>
        </w:rPr>
        <w:t>כ</w:t>
      </w:r>
      <w:r w:rsidR="00AE33D8" w:rsidRPr="00AE33D8">
        <w:rPr>
          <w:rFonts w:ascii="Arial" w:hAnsi="Arial"/>
          <w:b/>
          <w:bCs/>
          <w:noProof w:val="0"/>
          <w:rtl/>
        </w:rPr>
        <w:t>ת בסך של 72,968 ₪ נטו.</w:t>
      </w:r>
    </w:p>
    <w:p w:rsidR="00AE33D8" w:rsidRPr="00AE33D8" w:rsidRDefault="00AE33D8" w:rsidP="00AE33D8">
      <w:pPr>
        <w:spacing w:after="240" w:line="360" w:lineRule="auto"/>
        <w:contextualSpacing/>
        <w:jc w:val="both"/>
        <w:rPr>
          <w:rFonts w:ascii="Arial" w:hAnsi="Arial"/>
          <w:noProof w:val="0"/>
          <w:rtl/>
        </w:rPr>
      </w:pPr>
    </w:p>
    <w:p w:rsidR="00960E29" w:rsidRDefault="00960E29" w:rsidP="00AE33D8">
      <w:pPr>
        <w:spacing w:after="240" w:line="360" w:lineRule="auto"/>
        <w:contextualSpacing/>
        <w:jc w:val="both"/>
        <w:rPr>
          <w:rFonts w:ascii="Arial" w:hAnsi="Arial"/>
          <w:b/>
          <w:bCs/>
          <w:noProof w:val="0"/>
          <w:sz w:val="28"/>
          <w:szCs w:val="28"/>
          <w:u w:val="single"/>
          <w:rtl/>
        </w:rPr>
      </w:pPr>
    </w:p>
    <w:p w:rsidR="00AE33D8" w:rsidRPr="00AE33D8" w:rsidRDefault="00AE33D8" w:rsidP="00AE33D8">
      <w:pPr>
        <w:spacing w:after="240" w:line="360" w:lineRule="auto"/>
        <w:contextualSpacing/>
        <w:jc w:val="both"/>
        <w:rPr>
          <w:rFonts w:ascii="Arial" w:hAnsi="Arial"/>
          <w:b/>
          <w:bCs/>
          <w:noProof w:val="0"/>
          <w:sz w:val="28"/>
          <w:szCs w:val="28"/>
          <w:u w:val="single"/>
        </w:rPr>
      </w:pPr>
      <w:r w:rsidRPr="00AE33D8">
        <w:rPr>
          <w:rFonts w:ascii="Arial" w:hAnsi="Arial"/>
          <w:b/>
          <w:bCs/>
          <w:noProof w:val="0"/>
          <w:sz w:val="28"/>
          <w:szCs w:val="28"/>
          <w:u w:val="single"/>
          <w:rtl/>
        </w:rPr>
        <w:t>יחס הכנסות הצדדים</w:t>
      </w:r>
    </w:p>
    <w:p w:rsidR="00AE33D8" w:rsidRPr="00AE33D8" w:rsidRDefault="00AE33D8" w:rsidP="004F504D">
      <w:pPr>
        <w:numPr>
          <w:ilvl w:val="0"/>
          <w:numId w:val="11"/>
        </w:numPr>
        <w:spacing w:after="240" w:line="360" w:lineRule="auto"/>
        <w:ind w:left="0" w:firstLine="0"/>
        <w:contextualSpacing/>
        <w:jc w:val="both"/>
        <w:rPr>
          <w:rFonts w:ascii="Arial" w:hAnsi="Arial"/>
          <w:b/>
          <w:bCs/>
          <w:noProof w:val="0"/>
          <w:rtl/>
        </w:rPr>
      </w:pPr>
      <w:r w:rsidRPr="00AE33D8">
        <w:rPr>
          <w:rFonts w:ascii="Arial" w:hAnsi="Arial"/>
          <w:noProof w:val="0"/>
          <w:rtl/>
        </w:rPr>
        <w:t xml:space="preserve">כאמור,  הכנסת הנתבעת נקבעה בסכום של </w:t>
      </w:r>
      <w:r w:rsidRPr="00AE33D8">
        <w:rPr>
          <w:rFonts w:ascii="Arial" w:hAnsi="Arial"/>
          <w:b/>
          <w:bCs/>
          <w:noProof w:val="0"/>
          <w:rtl/>
        </w:rPr>
        <w:t>15,000 ₪ נטו ואילו של הנתבע בסכום של  72,968 ₪</w:t>
      </w:r>
      <w:r w:rsidRPr="00AE33D8">
        <w:rPr>
          <w:rFonts w:ascii="Arial" w:hAnsi="Arial"/>
          <w:noProof w:val="0"/>
          <w:rtl/>
        </w:rPr>
        <w:t xml:space="preserve"> </w:t>
      </w:r>
      <w:r w:rsidRPr="00AE33D8">
        <w:rPr>
          <w:rFonts w:ascii="Arial" w:hAnsi="Arial"/>
          <w:b/>
          <w:bCs/>
          <w:noProof w:val="0"/>
          <w:rtl/>
        </w:rPr>
        <w:t>נטו לחודש.</w:t>
      </w:r>
    </w:p>
    <w:p w:rsidR="00AE33D8" w:rsidRPr="00AE33D8" w:rsidRDefault="00AE33D8" w:rsidP="004F504D">
      <w:pPr>
        <w:spacing w:after="240" w:line="360" w:lineRule="auto"/>
        <w:contextualSpacing/>
        <w:jc w:val="both"/>
        <w:rPr>
          <w:rFonts w:ascii="Arial" w:hAnsi="Arial"/>
          <w:noProof w:val="0"/>
        </w:rPr>
      </w:pPr>
    </w:p>
    <w:p w:rsidR="00AE33D8" w:rsidRPr="00AE33D8" w:rsidRDefault="00AE33D8" w:rsidP="004F504D">
      <w:pPr>
        <w:numPr>
          <w:ilvl w:val="0"/>
          <w:numId w:val="11"/>
        </w:numPr>
        <w:spacing w:after="240" w:line="360" w:lineRule="auto"/>
        <w:ind w:left="0" w:firstLine="0"/>
        <w:contextualSpacing/>
        <w:jc w:val="both"/>
        <w:rPr>
          <w:rFonts w:ascii="Arial" w:hAnsi="Arial"/>
          <w:b/>
          <w:bCs/>
          <w:noProof w:val="0"/>
        </w:rPr>
      </w:pPr>
      <w:r w:rsidRPr="00AE33D8">
        <w:rPr>
          <w:rFonts w:ascii="Arial" w:hAnsi="Arial"/>
          <w:b/>
          <w:bCs/>
          <w:noProof w:val="0"/>
          <w:rtl/>
        </w:rPr>
        <w:t>על כן, יחס הכנסות הצדדים עומד על יחס של 83% לנתבע ו-17% לתובעת.</w:t>
      </w:r>
    </w:p>
    <w:p w:rsidR="00AE33D8" w:rsidRPr="00AE33D8" w:rsidRDefault="00AE33D8" w:rsidP="00AE33D8">
      <w:pPr>
        <w:spacing w:after="120" w:line="276" w:lineRule="auto"/>
        <w:ind w:left="720"/>
        <w:contextualSpacing/>
        <w:rPr>
          <w:rFonts w:ascii="Arial" w:hAnsi="Arial"/>
          <w:b/>
          <w:bCs/>
          <w:noProof w:val="0"/>
        </w:rPr>
      </w:pPr>
    </w:p>
    <w:p w:rsidR="00AE33D8" w:rsidRPr="00AE33D8" w:rsidRDefault="00AE33D8" w:rsidP="00AE33D8">
      <w:pPr>
        <w:spacing w:after="240" w:line="360" w:lineRule="auto"/>
        <w:contextualSpacing/>
        <w:jc w:val="both"/>
        <w:rPr>
          <w:rFonts w:ascii="Arial" w:hAnsi="Arial"/>
          <w:b/>
          <w:bCs/>
          <w:noProof w:val="0"/>
          <w:sz w:val="28"/>
          <w:szCs w:val="28"/>
          <w:u w:val="single"/>
          <w:rtl/>
        </w:rPr>
      </w:pPr>
      <w:r w:rsidRPr="00AE33D8">
        <w:rPr>
          <w:rFonts w:ascii="Arial" w:hAnsi="Arial"/>
          <w:b/>
          <w:bCs/>
          <w:noProof w:val="0"/>
          <w:sz w:val="28"/>
          <w:szCs w:val="28"/>
          <w:u w:val="single"/>
          <w:rtl/>
        </w:rPr>
        <w:t>צרכי הקטינים בהתאם לרמת החיים שאליה הורגלו</w:t>
      </w:r>
    </w:p>
    <w:p w:rsidR="00AE33D8" w:rsidRPr="00AE33D8" w:rsidRDefault="00AE33D8" w:rsidP="00434AE3">
      <w:pPr>
        <w:spacing w:after="240"/>
        <w:contextualSpacing/>
        <w:jc w:val="both"/>
        <w:rPr>
          <w:rFonts w:ascii="Arial" w:hAnsi="Arial"/>
          <w:noProof w:val="0"/>
          <w:rtl/>
        </w:rPr>
      </w:pPr>
    </w:p>
    <w:p w:rsidR="00AE33D8" w:rsidRPr="00AE33D8" w:rsidRDefault="00AE33D8" w:rsidP="00434AE3">
      <w:pPr>
        <w:numPr>
          <w:ilvl w:val="0"/>
          <w:numId w:val="11"/>
        </w:numPr>
        <w:spacing w:after="240" w:line="360" w:lineRule="auto"/>
        <w:ind w:left="-1" w:firstLine="1"/>
        <w:contextualSpacing/>
        <w:jc w:val="both"/>
        <w:rPr>
          <w:rFonts w:ascii="Arial" w:hAnsi="Arial"/>
          <w:noProof w:val="0"/>
        </w:rPr>
      </w:pPr>
      <w:r w:rsidRPr="00AE33D8">
        <w:rPr>
          <w:rFonts w:ascii="Arial" w:hAnsi="Arial"/>
          <w:noProof w:val="0"/>
          <w:rtl/>
        </w:rPr>
        <w:t xml:space="preserve">אשר לצרכי הילדים נקבעו בפסיקה חזקות עובדתיות, על פיהן סך ההוצאה עבור צרכיו ההכרחיים של קטין היא בין 1,600 ₪ לבין 1,800 ₪ לחודש, לא כולל הוצאות חינוך, מדור והוצאות אחזקת המדור (ראו- בר"ע (מחוזי ת"א) 1895/02 </w:t>
      </w:r>
      <w:r w:rsidRPr="00AE33D8">
        <w:rPr>
          <w:rFonts w:ascii="Arial" w:hAnsi="Arial"/>
          <w:b/>
          <w:bCs/>
          <w:noProof w:val="0"/>
          <w:rtl/>
        </w:rPr>
        <w:t>ב.י. נ' ב.נ</w:t>
      </w:r>
      <w:r w:rsidRPr="00AE33D8">
        <w:rPr>
          <w:rFonts w:ascii="Arial" w:hAnsi="Arial"/>
          <w:noProof w:val="0"/>
          <w:rtl/>
        </w:rPr>
        <w:t xml:space="preserve">. (20.1.2003); ע"מ 789/05 (מחוזי י-ם) </w:t>
      </w:r>
      <w:r w:rsidRPr="00AE33D8">
        <w:rPr>
          <w:rFonts w:ascii="Arial" w:hAnsi="Arial"/>
          <w:b/>
          <w:bCs/>
          <w:noProof w:val="0"/>
          <w:rtl/>
        </w:rPr>
        <w:t>ע.ד. נ' ע.י.</w:t>
      </w:r>
      <w:r w:rsidRPr="00AE33D8">
        <w:rPr>
          <w:rFonts w:ascii="Arial" w:hAnsi="Arial"/>
          <w:noProof w:val="0"/>
          <w:rtl/>
        </w:rPr>
        <w:t xml:space="preserve"> (16.1.2006); בע"מ 8542/10 </w:t>
      </w:r>
      <w:r w:rsidRPr="00AE33D8">
        <w:rPr>
          <w:rFonts w:ascii="Arial" w:hAnsi="Arial"/>
          <w:b/>
          <w:bCs/>
          <w:noProof w:val="0"/>
          <w:rtl/>
        </w:rPr>
        <w:t xml:space="preserve">פלוני נ' פלונית </w:t>
      </w:r>
      <w:r w:rsidRPr="00AE33D8">
        <w:rPr>
          <w:rFonts w:ascii="Arial" w:hAnsi="Arial"/>
          <w:noProof w:val="0"/>
          <w:rtl/>
        </w:rPr>
        <w:t xml:space="preserve">(29.12.2010); בע"מ 919/15 פסקה 22 לחוות דעתו של השופט פוגלמן; עמ"ש (ת"א) 1971-12-16 </w:t>
      </w:r>
      <w:r w:rsidRPr="00AE33D8">
        <w:rPr>
          <w:rFonts w:ascii="Arial" w:hAnsi="Arial"/>
          <w:b/>
          <w:bCs/>
          <w:noProof w:val="0"/>
          <w:rtl/>
        </w:rPr>
        <w:t>פלוני נ' פלונית</w:t>
      </w:r>
      <w:r w:rsidRPr="00AE33D8">
        <w:rPr>
          <w:rFonts w:ascii="Arial" w:hAnsi="Arial"/>
          <w:noProof w:val="0"/>
          <w:rtl/>
        </w:rPr>
        <w:t xml:space="preserve"> (6.1.2019); עמ"ש (חי') 26409-10-18 </w:t>
      </w:r>
      <w:r w:rsidRPr="00AE33D8">
        <w:rPr>
          <w:rFonts w:ascii="Arial" w:hAnsi="Arial"/>
          <w:b/>
          <w:bCs/>
          <w:noProof w:val="0"/>
          <w:rtl/>
        </w:rPr>
        <w:t>מ.ש. נ' ק.ש</w:t>
      </w:r>
      <w:r w:rsidRPr="00AE33D8">
        <w:rPr>
          <w:rFonts w:ascii="Arial" w:hAnsi="Arial"/>
          <w:noProof w:val="0"/>
          <w:rtl/>
        </w:rPr>
        <w:t xml:space="preserve">. (25.7.2019); עמ"ש (מרכז) 21704-03-18 </w:t>
      </w:r>
      <w:r w:rsidRPr="00AE33D8">
        <w:rPr>
          <w:rFonts w:ascii="Arial" w:hAnsi="Arial"/>
          <w:b/>
          <w:bCs/>
          <w:noProof w:val="0"/>
          <w:rtl/>
        </w:rPr>
        <w:t>א.ו. נ' א.ו</w:t>
      </w:r>
      <w:r w:rsidRPr="00AE33D8">
        <w:rPr>
          <w:rFonts w:ascii="Arial" w:hAnsi="Arial"/>
          <w:noProof w:val="0"/>
          <w:rtl/>
        </w:rPr>
        <w:t xml:space="preserve">. (11.6.2019); רמ"ש (מרכז) 59188-10-18 </w:t>
      </w:r>
      <w:r w:rsidRPr="00AE33D8">
        <w:rPr>
          <w:rFonts w:ascii="Arial" w:hAnsi="Arial"/>
          <w:b/>
          <w:bCs/>
          <w:noProof w:val="0"/>
          <w:rtl/>
        </w:rPr>
        <w:t>י.נ. נ' א.נ</w:t>
      </w:r>
      <w:r w:rsidRPr="00AE33D8">
        <w:rPr>
          <w:rFonts w:ascii="Arial" w:hAnsi="Arial"/>
          <w:noProof w:val="0"/>
          <w:rtl/>
        </w:rPr>
        <w:t>. (25.10.2018)).</w:t>
      </w:r>
    </w:p>
    <w:p w:rsidR="005F7457" w:rsidRDefault="005F7457" w:rsidP="005F7457">
      <w:pPr>
        <w:ind w:firstLine="720"/>
        <w:jc w:val="both"/>
        <w:rPr>
          <w:rFonts w:ascii="David" w:hAnsi="David"/>
          <w:rtl/>
        </w:rPr>
      </w:pPr>
    </w:p>
    <w:p w:rsidR="00AE33D8" w:rsidRPr="00AE33D8" w:rsidRDefault="00AE33D8" w:rsidP="00AE33D8">
      <w:pPr>
        <w:spacing w:line="360" w:lineRule="auto"/>
        <w:ind w:firstLine="720"/>
        <w:jc w:val="both"/>
        <w:rPr>
          <w:rFonts w:ascii="David" w:hAnsi="David"/>
        </w:rPr>
      </w:pPr>
      <w:r w:rsidRPr="00AE33D8">
        <w:rPr>
          <w:rFonts w:ascii="David" w:hAnsi="David"/>
          <w:rtl/>
        </w:rPr>
        <w:t xml:space="preserve">בעמ"ש (מרכז) 45565-07-20 </w:t>
      </w:r>
      <w:r w:rsidRPr="00AE33D8">
        <w:rPr>
          <w:rFonts w:ascii="David" w:hAnsi="David"/>
          <w:b/>
          <w:bCs/>
          <w:rtl/>
        </w:rPr>
        <w:t>א. פ נ' ק. פ</w:t>
      </w:r>
      <w:r w:rsidRPr="00AE33D8">
        <w:rPr>
          <w:rFonts w:ascii="David" w:hAnsi="David"/>
          <w:rtl/>
        </w:rPr>
        <w:t xml:space="preserve">  (18.2.2021) סעיף 20 נקבע בפסק הדין: </w:t>
      </w:r>
    </w:p>
    <w:p w:rsidR="00AE33D8" w:rsidRPr="00AE33D8" w:rsidRDefault="00AE33D8" w:rsidP="00AE33D8">
      <w:pPr>
        <w:ind w:left="1133" w:right="1560"/>
        <w:jc w:val="both"/>
        <w:rPr>
          <w:rFonts w:ascii="David" w:hAnsi="David"/>
          <w:rtl/>
        </w:rPr>
      </w:pPr>
      <w:r w:rsidRPr="00AE33D8">
        <w:rPr>
          <w:rFonts w:ascii="David" w:hAnsi="David"/>
          <w:b/>
          <w:bCs/>
          <w:rtl/>
        </w:rPr>
        <w:t xml:space="preserve">"כפי שצוין ע"י בית משפט קמא, ולמעשה אף אחד מהצדדים לא </w:t>
      </w:r>
      <w:bookmarkStart w:id="1" w:name="Seif2"/>
      <w:r w:rsidRPr="00AE33D8">
        <w:rPr>
          <w:rFonts w:ascii="David" w:hAnsi="David"/>
          <w:b/>
          <w:bCs/>
          <w:rtl/>
        </w:rPr>
        <w:t xml:space="preserve">חלק על </w:t>
      </w:r>
      <w:bookmarkEnd w:id="1"/>
      <w:r w:rsidRPr="00AE33D8">
        <w:rPr>
          <w:rFonts w:ascii="David" w:hAnsi="David"/>
          <w:b/>
          <w:bCs/>
          <w:rtl/>
        </w:rPr>
        <w:t>כך, שיעור צרכי קטין המ</w:t>
      </w:r>
      <w:bookmarkStart w:id="2" w:name="Seif3"/>
      <w:r w:rsidRPr="00AE33D8">
        <w:rPr>
          <w:rFonts w:ascii="David" w:hAnsi="David"/>
          <w:b/>
          <w:bCs/>
          <w:rtl/>
        </w:rPr>
        <w:t xml:space="preserve">חלק את </w:t>
      </w:r>
      <w:bookmarkEnd w:id="2"/>
      <w:r w:rsidRPr="00AE33D8">
        <w:rPr>
          <w:rFonts w:ascii="David" w:hAnsi="David"/>
          <w:b/>
          <w:bCs/>
          <w:rtl/>
        </w:rPr>
        <w:t>זמנו בין שני בתים לא יפחת על דרך ה</w:t>
      </w:r>
      <w:bookmarkStart w:id="3" w:name="Seif18"/>
      <w:r w:rsidRPr="00AE33D8">
        <w:rPr>
          <w:rFonts w:ascii="David" w:hAnsi="David"/>
          <w:b/>
          <w:bCs/>
          <w:rtl/>
        </w:rPr>
        <w:t xml:space="preserve">כלל מסך </w:t>
      </w:r>
      <w:bookmarkEnd w:id="3"/>
      <w:r w:rsidRPr="00AE33D8">
        <w:rPr>
          <w:rFonts w:ascii="David" w:hAnsi="David"/>
          <w:b/>
          <w:bCs/>
          <w:rtl/>
        </w:rPr>
        <w:t xml:space="preserve">של 2,250 ₪ לחודש, כאשר סך זה אינו כולל את עלויות מדורו ואחזקתו. הערכה זו התקבלה ע"י עשרות מותבים בערכאות השונות והיא מהווה, מזה זמן, מעין </w:t>
      </w:r>
      <w:bookmarkStart w:id="4" w:name="Seif19"/>
      <w:r w:rsidRPr="00AE33D8">
        <w:rPr>
          <w:rFonts w:ascii="David" w:hAnsi="David"/>
          <w:b/>
          <w:bCs/>
          <w:rtl/>
        </w:rPr>
        <w:t xml:space="preserve">כלל אצבע </w:t>
      </w:r>
      <w:bookmarkEnd w:id="4"/>
      <w:r w:rsidRPr="00AE33D8">
        <w:rPr>
          <w:rFonts w:ascii="David" w:hAnsi="David"/>
          <w:b/>
          <w:bCs/>
          <w:rtl/>
        </w:rPr>
        <w:t>בקביעת מזונות קטין הנדרש לרמת חיים "רגילה"</w:t>
      </w:r>
      <w:r w:rsidRPr="00AE33D8">
        <w:rPr>
          <w:rFonts w:ascii="David" w:hAnsi="David"/>
          <w:rtl/>
        </w:rPr>
        <w:t>.</w:t>
      </w:r>
    </w:p>
    <w:p w:rsidR="00AE33D8" w:rsidRPr="00AE33D8" w:rsidRDefault="00AE33D8" w:rsidP="00AE33D8">
      <w:pPr>
        <w:spacing w:line="360" w:lineRule="auto"/>
        <w:ind w:left="-1" w:firstLine="721"/>
        <w:jc w:val="both"/>
        <w:rPr>
          <w:rFonts w:ascii="David" w:hAnsi="David"/>
          <w:rtl/>
        </w:rPr>
      </w:pPr>
    </w:p>
    <w:p w:rsidR="00AE33D8" w:rsidRPr="00AE33D8" w:rsidRDefault="00AE33D8" w:rsidP="00AE33D8">
      <w:pPr>
        <w:spacing w:line="360" w:lineRule="auto"/>
        <w:ind w:left="-1" w:firstLine="721"/>
        <w:jc w:val="both"/>
        <w:rPr>
          <w:rFonts w:ascii="David" w:hAnsi="David"/>
          <w:noProof w:val="0"/>
          <w:rtl/>
        </w:rPr>
      </w:pPr>
      <w:r w:rsidRPr="00AE33D8">
        <w:rPr>
          <w:rFonts w:ascii="David" w:hAnsi="David"/>
          <w:rtl/>
        </w:rPr>
        <w:t>(ראו גם</w:t>
      </w:r>
      <w:r w:rsidRPr="00AE33D8">
        <w:rPr>
          <w:rFonts w:ascii="Narkisim" w:hAnsi="Narkisim" w:cs="Narkisim"/>
          <w:noProof w:val="0"/>
          <w:sz w:val="28"/>
          <w:szCs w:val="28"/>
          <w:rtl/>
        </w:rPr>
        <w:t xml:space="preserve"> - </w:t>
      </w:r>
      <w:hyperlink r:id="rId14" w:history="1">
        <w:r w:rsidRPr="00AE33D8">
          <w:rPr>
            <w:rFonts w:ascii="David" w:hAnsi="David"/>
            <w:noProof w:val="0"/>
            <w:rtl/>
          </w:rPr>
          <w:t>רמ"ש (מרכז) 59188-10-18</w:t>
        </w:r>
      </w:hyperlink>
      <w:r w:rsidRPr="00AE33D8">
        <w:rPr>
          <w:rFonts w:ascii="David" w:hAnsi="David"/>
          <w:noProof w:val="0"/>
          <w:rtl/>
        </w:rPr>
        <w:t xml:space="preserve"> </w:t>
      </w:r>
      <w:r w:rsidRPr="00AE33D8">
        <w:rPr>
          <w:rFonts w:ascii="David" w:hAnsi="David" w:hint="cs"/>
          <w:b/>
          <w:bCs/>
          <w:noProof w:val="0"/>
          <w:rtl/>
        </w:rPr>
        <w:t>נ. נ' נ.</w:t>
      </w:r>
      <w:r w:rsidRPr="00AE33D8">
        <w:rPr>
          <w:rFonts w:ascii="David" w:hAnsi="David" w:hint="cs"/>
          <w:noProof w:val="0"/>
          <w:rtl/>
        </w:rPr>
        <w:t xml:space="preserve"> (25.10.2018); </w:t>
      </w:r>
      <w:hyperlink r:id="rId15" w:history="1">
        <w:r w:rsidRPr="00AE33D8">
          <w:rPr>
            <w:rFonts w:ascii="David" w:hAnsi="David"/>
            <w:noProof w:val="0"/>
            <w:rtl/>
          </w:rPr>
          <w:t>עמש (ת"א) 12792-10-19</w:t>
        </w:r>
      </w:hyperlink>
      <w:r w:rsidRPr="00AE33D8">
        <w:rPr>
          <w:rFonts w:ascii="David" w:hAnsi="David"/>
          <w:noProof w:val="0"/>
          <w:rtl/>
        </w:rPr>
        <w:t xml:space="preserve"> - </w:t>
      </w:r>
      <w:r w:rsidRPr="00AE33D8">
        <w:rPr>
          <w:rFonts w:ascii="David" w:hAnsi="David"/>
          <w:b/>
          <w:bCs/>
          <w:noProof w:val="0"/>
          <w:rtl/>
        </w:rPr>
        <w:t>ע' נ' נ' ע' ע' נ'</w:t>
      </w:r>
      <w:r w:rsidRPr="00AE33D8">
        <w:rPr>
          <w:rFonts w:ascii="David" w:hAnsi="David"/>
          <w:noProof w:val="0"/>
          <w:rtl/>
        </w:rPr>
        <w:t>, (27.10.2020)</w:t>
      </w:r>
      <w:r w:rsidRPr="00AE33D8">
        <w:rPr>
          <w:rFonts w:ascii="David" w:hAnsi="David"/>
        </w:rPr>
        <w:t xml:space="preserve"> </w:t>
      </w:r>
      <w:r w:rsidRPr="00AE33D8">
        <w:rPr>
          <w:rFonts w:ascii="David" w:hAnsi="David"/>
          <w:noProof w:val="0"/>
          <w:rtl/>
        </w:rPr>
        <w:t xml:space="preserve">; </w:t>
      </w:r>
      <w:hyperlink r:id="rId16" w:history="1">
        <w:r w:rsidRPr="00AE33D8">
          <w:rPr>
            <w:rFonts w:ascii="David" w:hAnsi="David"/>
            <w:noProof w:val="0"/>
            <w:rtl/>
          </w:rPr>
          <w:t>עמ"ש (מרכז) 65692-11-19</w:t>
        </w:r>
      </w:hyperlink>
      <w:r w:rsidRPr="00AE33D8">
        <w:rPr>
          <w:rFonts w:ascii="David" w:hAnsi="David"/>
          <w:noProof w:val="0"/>
          <w:rtl/>
        </w:rPr>
        <w:t xml:space="preserve"> </w:t>
      </w:r>
      <w:r w:rsidRPr="00AE33D8">
        <w:rPr>
          <w:rFonts w:ascii="David" w:hAnsi="David" w:hint="cs"/>
          <w:b/>
          <w:bCs/>
          <w:noProof w:val="0"/>
          <w:rtl/>
        </w:rPr>
        <w:t>ד.ס. נ' ל.צ.ס</w:t>
      </w:r>
      <w:r w:rsidRPr="00AE33D8">
        <w:rPr>
          <w:rFonts w:ascii="David" w:hAnsi="David" w:hint="cs"/>
          <w:noProof w:val="0"/>
          <w:rtl/>
        </w:rPr>
        <w:t xml:space="preserve">. (22.9.2020)  </w:t>
      </w:r>
      <w:hyperlink r:id="rId17" w:history="1">
        <w:r w:rsidRPr="00AE33D8">
          <w:rPr>
            <w:rFonts w:ascii="David" w:hAnsi="David"/>
            <w:noProof w:val="0"/>
            <w:rtl/>
          </w:rPr>
          <w:t>תלה"מ (י-ם) 6984-07-19</w:t>
        </w:r>
      </w:hyperlink>
      <w:r w:rsidRPr="00AE33D8">
        <w:rPr>
          <w:rFonts w:ascii="David" w:hAnsi="David"/>
          <w:noProof w:val="0"/>
          <w:rtl/>
        </w:rPr>
        <w:t xml:space="preserve"> - </w:t>
      </w:r>
      <w:r w:rsidRPr="00AE33D8">
        <w:rPr>
          <w:rFonts w:ascii="David" w:hAnsi="David"/>
          <w:b/>
          <w:bCs/>
          <w:noProof w:val="0"/>
          <w:rtl/>
        </w:rPr>
        <w:t>פלונית נ' פלוני</w:t>
      </w:r>
      <w:r w:rsidRPr="00AE33D8">
        <w:rPr>
          <w:rFonts w:ascii="David" w:hAnsi="David"/>
          <w:noProof w:val="0"/>
          <w:rtl/>
        </w:rPr>
        <w:t xml:space="preserve"> (16.9.2020); </w:t>
      </w:r>
      <w:hyperlink r:id="rId18" w:history="1">
        <w:r w:rsidRPr="00AE33D8">
          <w:rPr>
            <w:rFonts w:ascii="David" w:hAnsi="David"/>
            <w:noProof w:val="0"/>
            <w:rtl/>
          </w:rPr>
          <w:t>עמ"ש (חי') 56000-10-18</w:t>
        </w:r>
      </w:hyperlink>
      <w:r w:rsidRPr="00AE33D8">
        <w:rPr>
          <w:rFonts w:ascii="David" w:hAnsi="David"/>
          <w:noProof w:val="0"/>
          <w:rtl/>
        </w:rPr>
        <w:t xml:space="preserve"> </w:t>
      </w:r>
      <w:r w:rsidRPr="00AE33D8">
        <w:rPr>
          <w:rFonts w:ascii="David" w:hAnsi="David" w:hint="cs"/>
          <w:b/>
          <w:bCs/>
          <w:noProof w:val="0"/>
          <w:rtl/>
        </w:rPr>
        <w:t>פלוני נ' פלונית</w:t>
      </w:r>
      <w:r w:rsidRPr="00AE33D8">
        <w:rPr>
          <w:rFonts w:ascii="David" w:hAnsi="David" w:hint="cs"/>
          <w:noProof w:val="0"/>
          <w:rtl/>
        </w:rPr>
        <w:t xml:space="preserve"> (31.1.2019); </w:t>
      </w:r>
      <w:hyperlink r:id="rId19" w:history="1">
        <w:r w:rsidRPr="00AE33D8">
          <w:rPr>
            <w:rFonts w:ascii="David" w:hAnsi="David"/>
            <w:noProof w:val="0"/>
            <w:rtl/>
          </w:rPr>
          <w:t>עמ"ש (מרכז) 21704-03-18</w:t>
        </w:r>
      </w:hyperlink>
      <w:r w:rsidRPr="00AE33D8">
        <w:rPr>
          <w:rFonts w:ascii="David" w:hAnsi="David"/>
          <w:noProof w:val="0"/>
          <w:rtl/>
        </w:rPr>
        <w:t xml:space="preserve"> </w:t>
      </w:r>
      <w:r w:rsidRPr="00AE33D8">
        <w:rPr>
          <w:rFonts w:ascii="David" w:hAnsi="David" w:hint="cs"/>
          <w:b/>
          <w:bCs/>
          <w:noProof w:val="0"/>
          <w:rtl/>
        </w:rPr>
        <w:t>א.ו נ' א.ו</w:t>
      </w:r>
      <w:r w:rsidRPr="00AE33D8">
        <w:rPr>
          <w:rFonts w:ascii="David" w:hAnsi="David" w:hint="cs"/>
          <w:noProof w:val="0"/>
          <w:rtl/>
        </w:rPr>
        <w:t xml:space="preserve"> (11.6.2019))." </w:t>
      </w:r>
    </w:p>
    <w:p w:rsidR="00AE33D8" w:rsidRPr="00AE33D8" w:rsidRDefault="00AE33D8" w:rsidP="00AE33D8">
      <w:pPr>
        <w:spacing w:line="360" w:lineRule="auto"/>
        <w:jc w:val="both"/>
        <w:rPr>
          <w:rFonts w:ascii="David" w:hAnsi="David"/>
          <w:noProof w:val="0"/>
          <w:rtl/>
        </w:rPr>
      </w:pPr>
    </w:p>
    <w:p w:rsidR="00AE33D8" w:rsidRPr="00AE33D8" w:rsidRDefault="00AE33D8" w:rsidP="005F7457">
      <w:pPr>
        <w:numPr>
          <w:ilvl w:val="0"/>
          <w:numId w:val="11"/>
        </w:numPr>
        <w:tabs>
          <w:tab w:val="left" w:pos="566"/>
        </w:tabs>
        <w:spacing w:after="120" w:line="360" w:lineRule="auto"/>
        <w:ind w:left="-1" w:firstLine="1"/>
        <w:contextualSpacing/>
        <w:jc w:val="both"/>
        <w:rPr>
          <w:rFonts w:ascii="David" w:hAnsi="David"/>
          <w:noProof w:val="0"/>
          <w:rtl/>
        </w:rPr>
      </w:pPr>
      <w:r w:rsidRPr="00AE33D8">
        <w:rPr>
          <w:rFonts w:ascii="David" w:hAnsi="David"/>
          <w:noProof w:val="0"/>
          <w:rtl/>
        </w:rPr>
        <w:tab/>
        <w:t xml:space="preserve">בכל הקשור לסוגיית המדור הובהר בעניין </w:t>
      </w:r>
      <w:hyperlink r:id="rId20" w:history="1">
        <w:r w:rsidRPr="00AE33D8">
          <w:rPr>
            <w:rFonts w:ascii="David" w:hAnsi="David"/>
            <w:noProof w:val="0"/>
            <w:rtl/>
          </w:rPr>
          <w:t>עמ"ש 65692-11-19</w:t>
        </w:r>
      </w:hyperlink>
      <w:r w:rsidRPr="00AE33D8">
        <w:rPr>
          <w:rFonts w:ascii="David" w:hAnsi="David"/>
          <w:noProof w:val="0"/>
          <w:rtl/>
        </w:rPr>
        <w:t xml:space="preserve"> </w:t>
      </w:r>
      <w:r w:rsidRPr="00AE33D8">
        <w:rPr>
          <w:rFonts w:ascii="David" w:hAnsi="David" w:hint="cs"/>
          <w:b/>
          <w:bCs/>
          <w:noProof w:val="0"/>
          <w:rtl/>
        </w:rPr>
        <w:t>ס. נ' ס.</w:t>
      </w:r>
      <w:r w:rsidRPr="00AE33D8">
        <w:rPr>
          <w:rFonts w:ascii="David" w:hAnsi="David" w:hint="cs"/>
          <w:noProof w:val="0"/>
          <w:rtl/>
        </w:rPr>
        <w:t xml:space="preserve"> (22.9.2020), כי על מנת שלא ליצור חשש לבית עני ובית עשיר (דוגמה אב השוכר דירה ב – 10,000 ₪ אל מול אם השוכרת דירה ב – 5,000 ₪ כאשר האב יטען לקיזוז חלקו העודף בהוצאות המדור), יש לקבוע עלות מדור סבירה ולחלוק את אותה עלות בין הצדדים על פי יחס השהייה ויחס ההשתכרות בניהם.</w:t>
      </w:r>
      <w:r w:rsidRPr="00AE33D8">
        <w:rPr>
          <w:rFonts w:ascii="Narkisim" w:hAnsi="Narkisim" w:cs="Narkisim"/>
          <w:noProof w:val="0"/>
          <w:sz w:val="28"/>
          <w:szCs w:val="28"/>
          <w:rtl/>
        </w:rPr>
        <w:t xml:space="preserve"> </w:t>
      </w:r>
    </w:p>
    <w:p w:rsidR="00AE33D8" w:rsidRPr="00AE33D8" w:rsidRDefault="00AE33D8" w:rsidP="00AE33D8">
      <w:pPr>
        <w:tabs>
          <w:tab w:val="left" w:pos="566"/>
        </w:tabs>
        <w:spacing w:line="360" w:lineRule="auto"/>
        <w:ind w:left="-1"/>
        <w:contextualSpacing/>
        <w:jc w:val="both"/>
        <w:rPr>
          <w:rFonts w:ascii="David" w:hAnsi="David"/>
          <w:noProof w:val="0"/>
        </w:rPr>
      </w:pPr>
      <w:r w:rsidRPr="00AE33D8">
        <w:rPr>
          <w:rFonts w:ascii="Narkisim" w:hAnsi="Narkisim" w:cs="Narkisim"/>
          <w:noProof w:val="0"/>
          <w:sz w:val="28"/>
          <w:szCs w:val="28"/>
          <w:rtl/>
        </w:rPr>
        <w:lastRenderedPageBreak/>
        <w:t xml:space="preserve"> </w:t>
      </w:r>
    </w:p>
    <w:p w:rsidR="00AE33D8" w:rsidRDefault="00AE33D8" w:rsidP="00AE33D8">
      <w:pPr>
        <w:spacing w:after="120" w:line="360" w:lineRule="auto"/>
        <w:ind w:left="-1" w:firstLine="709"/>
        <w:jc w:val="both"/>
        <w:rPr>
          <w:rFonts w:ascii="David" w:hAnsi="David"/>
          <w:noProof w:val="0"/>
          <w:rtl/>
          <w:lang w:eastAsia="he-IL"/>
        </w:rPr>
      </w:pPr>
      <w:r w:rsidRPr="00AE33D8">
        <w:rPr>
          <w:rFonts w:ascii="David" w:hAnsi="David"/>
          <w:b/>
          <w:bCs/>
          <w:noProof w:val="0"/>
          <w:rtl/>
          <w:lang w:eastAsia="he-IL"/>
        </w:rPr>
        <w:t>נכון להיום, התובעת מתגוררת בבית המגורים</w:t>
      </w:r>
      <w:r w:rsidRPr="00AE33D8">
        <w:rPr>
          <w:rFonts w:ascii="David" w:hAnsi="David"/>
          <w:noProof w:val="0"/>
          <w:rtl/>
          <w:lang w:eastAsia="he-IL"/>
        </w:rPr>
        <w:t xml:space="preserve"> בעוד הנתבע מתגורר בדירה שכורה. לפי סעיף 77 להחלטה, הצדדים נושאים בחלקים שווים בהחזר המשכנתה ובתשלומי ביטוח הבית. אמנם הנתבע נושא ב-30% מחלקה של התובעת בתשלום החזר המשכנתה במסגרת חיובו בדמי מדורה של הקטינה, אך חיוב זה עתיד לפקוע עם הגיעה של הקטינה לגיל שש שנים, בעוד פחות משנה.</w:t>
      </w:r>
    </w:p>
    <w:p w:rsidR="00960E29" w:rsidRPr="00AE33D8" w:rsidRDefault="00960E29" w:rsidP="00AE33D8">
      <w:pPr>
        <w:spacing w:after="120" w:line="360" w:lineRule="auto"/>
        <w:ind w:left="-1" w:firstLine="709"/>
        <w:jc w:val="both"/>
        <w:rPr>
          <w:rFonts w:ascii="David" w:hAnsi="David"/>
          <w:noProof w:val="0"/>
          <w:rtl/>
          <w:lang w:eastAsia="he-IL"/>
        </w:rPr>
      </w:pPr>
    </w:p>
    <w:p w:rsidR="00AE33D8" w:rsidRPr="00AE33D8" w:rsidRDefault="00AE33D8" w:rsidP="005F7457">
      <w:pPr>
        <w:numPr>
          <w:ilvl w:val="0"/>
          <w:numId w:val="11"/>
        </w:numPr>
        <w:spacing w:after="120" w:line="360" w:lineRule="auto"/>
        <w:ind w:left="-1" w:firstLine="1"/>
        <w:contextualSpacing/>
        <w:jc w:val="both"/>
        <w:rPr>
          <w:rFonts w:ascii="David" w:hAnsi="David"/>
          <w:noProof w:val="0"/>
          <w:rtl/>
        </w:rPr>
      </w:pPr>
      <w:r w:rsidRPr="00AE33D8">
        <w:rPr>
          <w:rFonts w:ascii="David" w:hAnsi="David"/>
          <w:noProof w:val="0"/>
          <w:rtl/>
          <w:lang w:eastAsia="he-IL"/>
        </w:rPr>
        <w:t xml:space="preserve"> </w:t>
      </w:r>
      <w:r w:rsidRPr="00AE33D8">
        <w:rPr>
          <w:rFonts w:ascii="David" w:hAnsi="David"/>
          <w:noProof w:val="0"/>
          <w:rtl/>
        </w:rPr>
        <w:t xml:space="preserve">בעמ"ש (ת"א) 32172-11-17 </w:t>
      </w:r>
      <w:r w:rsidRPr="00AE33D8">
        <w:rPr>
          <w:rFonts w:ascii="David" w:hAnsi="David"/>
          <w:b/>
          <w:bCs/>
          <w:noProof w:val="0"/>
          <w:rtl/>
        </w:rPr>
        <w:t>ע. ש. (קטינה) נ' נ. ש</w:t>
      </w:r>
      <w:r w:rsidRPr="00AE33D8">
        <w:rPr>
          <w:rFonts w:ascii="David" w:hAnsi="David"/>
          <w:noProof w:val="0"/>
          <w:rtl/>
        </w:rPr>
        <w:t xml:space="preserve">  פסקה 8-9 (10.1.2019) נקבע ע"י כב' השופטת יהודית שבח: </w:t>
      </w:r>
    </w:p>
    <w:p w:rsidR="00AE33D8" w:rsidRPr="00AE33D8" w:rsidRDefault="00AE33D8" w:rsidP="00AE33D8">
      <w:pPr>
        <w:ind w:left="1134" w:right="1559"/>
        <w:jc w:val="both"/>
        <w:rPr>
          <w:rFonts w:ascii="David" w:hAnsi="David"/>
          <w:b/>
          <w:bCs/>
        </w:rPr>
      </w:pPr>
      <w:r w:rsidRPr="00AE33D8">
        <w:rPr>
          <w:rFonts w:ascii="David" w:hAnsi="David"/>
          <w:rtl/>
        </w:rPr>
        <w:t>"</w:t>
      </w:r>
      <w:r w:rsidRPr="00AE33D8">
        <w:rPr>
          <w:rFonts w:ascii="David" w:hAnsi="David"/>
          <w:b/>
          <w:bCs/>
          <w:rtl/>
        </w:rPr>
        <w:t>אעבור עתה לפסיקת המזונות לפי תחשיב מתמטי מדוייק המשקף את שלושת זרועות המשולש: צרכיו של הקטין, חלוקת זמני השהות, ויכולתם הכלכלית של ההורים.</w:t>
      </w:r>
    </w:p>
    <w:p w:rsidR="00AE33D8" w:rsidRPr="00AE33D8" w:rsidRDefault="00AE33D8" w:rsidP="00AE33D8">
      <w:pPr>
        <w:ind w:left="1134" w:right="1559"/>
        <w:jc w:val="both"/>
        <w:rPr>
          <w:rFonts w:ascii="David" w:hAnsi="David"/>
          <w:b/>
          <w:bCs/>
          <w:rtl/>
        </w:rPr>
      </w:pPr>
      <w:r w:rsidRPr="00AE33D8">
        <w:rPr>
          <w:rFonts w:ascii="David" w:hAnsi="David"/>
          <w:b/>
          <w:bCs/>
          <w:rtl/>
        </w:rPr>
        <w:t>אין מחלוקת כי אף שפסק הדין בבעמ 919/15 עוסק בקטינים המצויים במשמורת משותפת של הוריהם וביכולת כלכלית דומה, השלכותיו רחבות יותר ומאצילות אף על חיובי מזונות במשמורת שאינה משותפת, בהסדרי ראיה שאינם שווים או דומים, אף ביכולת כלכלית שונה. אלא שמכאן ועד לפסיקת סכום המזונות לפי נוסחה מתמטית קבועה המשקללת באופן קר את היחס בין זמני השהות ובין היכולות הכלכליות, והגוזרת  את סכום המזונות הראוי מתוך אומדן צרכי הקטין לפי יחס זה – רחוקה הדרך.</w:t>
      </w:r>
    </w:p>
    <w:p w:rsidR="00AE33D8" w:rsidRPr="00AE33D8" w:rsidRDefault="00AE33D8" w:rsidP="00AE33D8">
      <w:pPr>
        <w:ind w:left="1134" w:right="1559" w:hanging="720"/>
        <w:jc w:val="both"/>
        <w:rPr>
          <w:rFonts w:ascii="David" w:hAnsi="David"/>
          <w:b/>
          <w:bCs/>
          <w:rtl/>
        </w:rPr>
      </w:pPr>
      <w:r w:rsidRPr="00AE33D8">
        <w:rPr>
          <w:rFonts w:ascii="David" w:hAnsi="David"/>
          <w:b/>
          <w:bCs/>
          <w:rtl/>
        </w:rPr>
        <w:tab/>
        <w:t>בעמ 919/15 אכן שינה סדרי עולם באשר לחיוב אב יהודי לשאת במזונות ילדיו הקטינים בגילאי 6 עד 15. לא עוד הפחתה של 25% מהסכום שהיה נפסק לו היו הקטינים במשמורת בלעדית אצל האם, כי אם "</w:t>
      </w:r>
      <w:r w:rsidRPr="00AE33D8">
        <w:rPr>
          <w:rFonts w:ascii="David" w:hAnsi="David"/>
          <w:b/>
          <w:bCs/>
          <w:u w:val="single"/>
          <w:rtl/>
        </w:rPr>
        <w:t>בגילאי 6-15 חבים שני ההורים באופן שווה במזונות ילדיהם מדין צדקה, תוך שהחלוקה ביניהם תקבע על פי יכולותיהם הכלכליות היחסיות מכלל המקורות העומדים לרשותם, לרבות שכר עבודה, בנתון לחלוקת המשמורת הפיזית בפועל, ובשים לב למכלול נסיבות המקרה</w:t>
      </w:r>
      <w:r w:rsidRPr="00AE33D8">
        <w:rPr>
          <w:rFonts w:ascii="David" w:hAnsi="David"/>
          <w:b/>
          <w:bCs/>
          <w:rtl/>
        </w:rPr>
        <w:t>". אלא שמדובר בעיקרון לפיו יש להתחשב באופן ממשי ביכולות הכלכליות ובזמני השהות, לאו דווקא בנוסחה מתמטית קבועה.</w:t>
      </w:r>
    </w:p>
    <w:p w:rsidR="00AE33D8" w:rsidRPr="00AE33D8" w:rsidRDefault="00AE33D8" w:rsidP="00AE33D8">
      <w:pPr>
        <w:ind w:left="1134" w:right="1559"/>
        <w:jc w:val="both"/>
        <w:rPr>
          <w:rFonts w:ascii="David" w:hAnsi="David"/>
          <w:b/>
          <w:bCs/>
          <w:rtl/>
        </w:rPr>
      </w:pPr>
      <w:r w:rsidRPr="00AE33D8">
        <w:rPr>
          <w:rFonts w:ascii="David" w:hAnsi="David"/>
          <w:b/>
          <w:bCs/>
          <w:rtl/>
        </w:rPr>
        <w:t xml:space="preserve">פסיקת מזונות אינה מדע מדויק, והיא תמיד תלוית נסיבות ונתונים קונקרטיים, ומכך נגזרת גם התערבותה המצומצמת של ערכאת הערעור בתיקים אלו (בעמ 4589/05 </w:t>
      </w:r>
      <w:r w:rsidRPr="00AE33D8">
        <w:rPr>
          <w:rFonts w:ascii="David" w:hAnsi="David"/>
          <w:b/>
          <w:bCs/>
          <w:u w:val="single"/>
          <w:rtl/>
        </w:rPr>
        <w:t>פלוני נ' פלוני</w:t>
      </w:r>
      <w:r w:rsidRPr="00AE33D8">
        <w:rPr>
          <w:rFonts w:ascii="David" w:hAnsi="David"/>
          <w:b/>
          <w:bCs/>
          <w:rtl/>
        </w:rPr>
        <w:t xml:space="preserve">, בעמ 8915/15 </w:t>
      </w:r>
      <w:r w:rsidRPr="00AE33D8">
        <w:rPr>
          <w:rFonts w:ascii="David" w:hAnsi="David"/>
          <w:b/>
          <w:bCs/>
          <w:u w:val="single"/>
          <w:rtl/>
        </w:rPr>
        <w:t>פלוני נ' פלונית</w:t>
      </w:r>
      <w:r w:rsidRPr="00AE33D8">
        <w:rPr>
          <w:rFonts w:ascii="David" w:hAnsi="David"/>
          <w:b/>
          <w:bCs/>
          <w:i/>
          <w:iCs/>
          <w:rtl/>
        </w:rPr>
        <w:t>)</w:t>
      </w:r>
      <w:r w:rsidRPr="00AE33D8">
        <w:rPr>
          <w:rFonts w:ascii="David" w:hAnsi="David"/>
          <w:b/>
          <w:bCs/>
          <w:rtl/>
        </w:rPr>
        <w:t>.</w:t>
      </w:r>
    </w:p>
    <w:p w:rsidR="00AE33D8" w:rsidRPr="00AE33D8" w:rsidRDefault="00AE33D8" w:rsidP="00AE33D8">
      <w:pPr>
        <w:ind w:left="414" w:right="1559" w:firstLine="720"/>
        <w:jc w:val="both"/>
        <w:rPr>
          <w:rFonts w:ascii="David" w:hAnsi="David"/>
        </w:rPr>
      </w:pPr>
      <w:r w:rsidRPr="00AE33D8">
        <w:rPr>
          <w:rFonts w:ascii="David" w:hAnsi="David"/>
          <w:b/>
          <w:bCs/>
          <w:rtl/>
        </w:rPr>
        <w:t>גישה זו נותרה על מכונה גם לאחר פסק הדין בבע"מ 919/15".</w:t>
      </w:r>
    </w:p>
    <w:p w:rsidR="00AE33D8" w:rsidRPr="00AE33D8" w:rsidRDefault="00AE33D8" w:rsidP="00AE33D8">
      <w:pPr>
        <w:spacing w:line="360" w:lineRule="auto"/>
        <w:ind w:left="720" w:hanging="720"/>
        <w:jc w:val="both"/>
        <w:rPr>
          <w:rFonts w:ascii="David" w:hAnsi="David"/>
          <w:noProof w:val="0"/>
          <w:rtl/>
        </w:rPr>
      </w:pPr>
    </w:p>
    <w:p w:rsidR="00AE33D8" w:rsidRPr="00AE33D8" w:rsidRDefault="00AE33D8" w:rsidP="005F7457">
      <w:pPr>
        <w:spacing w:line="360" w:lineRule="auto"/>
        <w:ind w:left="720"/>
        <w:jc w:val="both"/>
        <w:rPr>
          <w:rFonts w:ascii="David" w:hAnsi="David"/>
          <w:noProof w:val="0"/>
          <w:rtl/>
        </w:rPr>
      </w:pPr>
      <w:r w:rsidRPr="00AE33D8">
        <w:rPr>
          <w:rFonts w:ascii="David" w:hAnsi="David"/>
          <w:noProof w:val="0"/>
          <w:rtl/>
        </w:rPr>
        <w:t>עוד ראו לעניין זה האמור בסעיף 12 לפסק דינו של כב' השופט שוחט וזאת חרף התוצאה השונה אליה הגיעו כב' השופט שאול שוחט וכב' השופטת יהודית שבח</w:t>
      </w:r>
      <w:r w:rsidR="005F7457">
        <w:rPr>
          <w:rFonts w:ascii="David" w:hAnsi="David" w:hint="cs"/>
          <w:noProof w:val="0"/>
          <w:rtl/>
        </w:rPr>
        <w:t>:</w:t>
      </w:r>
      <w:r w:rsidRPr="00AE33D8">
        <w:rPr>
          <w:rFonts w:ascii="David" w:hAnsi="David"/>
          <w:noProof w:val="0"/>
          <w:rtl/>
        </w:rPr>
        <w:t xml:space="preserve"> </w:t>
      </w:r>
    </w:p>
    <w:p w:rsidR="00AE33D8" w:rsidRPr="00AE33D8" w:rsidRDefault="00AE33D8" w:rsidP="00AE33D8">
      <w:pPr>
        <w:ind w:left="1133" w:right="1560" w:hanging="720"/>
        <w:jc w:val="both"/>
        <w:rPr>
          <w:rFonts w:ascii="David" w:hAnsi="David"/>
          <w:b/>
          <w:bCs/>
          <w:noProof w:val="0"/>
          <w:rtl/>
        </w:rPr>
      </w:pPr>
      <w:r w:rsidRPr="00AE33D8">
        <w:rPr>
          <w:rFonts w:ascii="David" w:hAnsi="David"/>
          <w:noProof w:val="0"/>
          <w:rtl/>
        </w:rPr>
        <w:tab/>
      </w:r>
      <w:r w:rsidRPr="00AE33D8">
        <w:rPr>
          <w:rFonts w:ascii="David" w:hAnsi="David"/>
          <w:b/>
          <w:bCs/>
          <w:noProof w:val="0"/>
          <w:rtl/>
        </w:rPr>
        <w:t>"</w:t>
      </w:r>
      <w:r w:rsidRPr="00AE33D8">
        <w:rPr>
          <w:rFonts w:ascii="David" w:hAnsi="David"/>
          <w:b/>
          <w:bCs/>
          <w:rtl/>
        </w:rPr>
        <w:t>אכן, התחשיב האמור אינו סוף פסוק (עמ"ש 14612-10-16 פ' ב' נ' א' ב' 20.12.2017) אלא רק נקודת מוצא (עמ"ש 56050-06-17 ש' י' נ' ש' י'; 7.10.18, לא פורסם)".</w:t>
      </w:r>
    </w:p>
    <w:p w:rsidR="00AE33D8" w:rsidRPr="00AE33D8" w:rsidRDefault="00AE33D8" w:rsidP="00AE33D8">
      <w:pPr>
        <w:spacing w:line="360" w:lineRule="auto"/>
        <w:ind w:left="720" w:hanging="720"/>
        <w:jc w:val="both"/>
        <w:rPr>
          <w:rFonts w:ascii="David" w:hAnsi="David"/>
          <w:noProof w:val="0"/>
          <w:rtl/>
        </w:rPr>
      </w:pPr>
    </w:p>
    <w:p w:rsidR="00AE33D8" w:rsidRPr="00AE33D8" w:rsidRDefault="00AE33D8" w:rsidP="006E4076">
      <w:pPr>
        <w:numPr>
          <w:ilvl w:val="0"/>
          <w:numId w:val="11"/>
        </w:numPr>
        <w:spacing w:after="240" w:line="360" w:lineRule="auto"/>
        <w:ind w:left="0" w:firstLine="0"/>
        <w:contextualSpacing/>
        <w:jc w:val="both"/>
        <w:rPr>
          <w:rFonts w:ascii="Arial" w:hAnsi="Arial"/>
          <w:noProof w:val="0"/>
          <w:rtl/>
        </w:rPr>
      </w:pPr>
      <w:r w:rsidRPr="00AE33D8">
        <w:rPr>
          <w:rFonts w:ascii="Calibri" w:hAnsi="Calibri"/>
          <w:noProof w:val="0"/>
          <w:sz w:val="22"/>
          <w:rtl/>
        </w:rPr>
        <w:t>חרף טענות הנתבע בנוגע לרמת חיים ממוצעת, הרי שמהנתונים שהוצגו לבית המשפט, עולה כי אין ממש בטענות אלה</w:t>
      </w:r>
      <w:r w:rsidRPr="00AE33D8">
        <w:rPr>
          <w:rFonts w:ascii="Arial" w:hAnsi="Arial"/>
          <w:noProof w:val="0"/>
          <w:rtl/>
        </w:rPr>
        <w:t xml:space="preserve">. בסעיף 9 (א) לתצהירו וסעיפים 11-10 לסיכומיו טען הנתבע, כי כלל הוצאות המשפחה שולמו מכספי החשבון המשותף, תוך הכחשת מתן כסף מזומן לידי התובעת לשם עריכת </w:t>
      </w:r>
      <w:r w:rsidRPr="00AE33D8">
        <w:rPr>
          <w:rFonts w:ascii="Arial" w:hAnsi="Arial"/>
          <w:noProof w:val="0"/>
          <w:rtl/>
        </w:rPr>
        <w:lastRenderedPageBreak/>
        <w:t xml:space="preserve">קניות עבור המשפחה, וקניות על חשבון כרטיס האשראי של חברת </w:t>
      </w:r>
      <w:r w:rsidR="006E4076">
        <w:rPr>
          <w:rFonts w:ascii="Arial" w:hAnsi="Arial" w:hint="cs"/>
          <w:noProof w:val="0"/>
        </w:rPr>
        <w:t>TTT</w:t>
      </w:r>
      <w:r w:rsidRPr="00AE33D8">
        <w:rPr>
          <w:rFonts w:ascii="Arial" w:hAnsi="Arial"/>
          <w:noProof w:val="0"/>
          <w:rtl/>
        </w:rPr>
        <w:t>. הראיות והמסמכים שהוצגו בתיק מלמדים דברים אחרים.</w:t>
      </w:r>
    </w:p>
    <w:p w:rsidR="00AE33D8" w:rsidRPr="00AE33D8" w:rsidRDefault="00AE33D8" w:rsidP="005F7457">
      <w:pPr>
        <w:spacing w:after="240" w:line="360" w:lineRule="auto"/>
        <w:contextualSpacing/>
        <w:jc w:val="both"/>
        <w:rPr>
          <w:rFonts w:ascii="Arial" w:hAnsi="Arial"/>
          <w:noProof w:val="0"/>
        </w:rPr>
      </w:pPr>
    </w:p>
    <w:p w:rsidR="00AE33D8" w:rsidRPr="00AE33D8" w:rsidRDefault="00AE33D8" w:rsidP="00E400B2">
      <w:pPr>
        <w:numPr>
          <w:ilvl w:val="0"/>
          <w:numId w:val="11"/>
        </w:numPr>
        <w:spacing w:after="240" w:line="360" w:lineRule="auto"/>
        <w:ind w:left="0" w:firstLine="0"/>
        <w:contextualSpacing/>
        <w:jc w:val="both"/>
        <w:rPr>
          <w:rFonts w:ascii="Arial" w:hAnsi="Arial"/>
          <w:noProof w:val="0"/>
        </w:rPr>
      </w:pPr>
      <w:r w:rsidRPr="00AE33D8">
        <w:rPr>
          <w:rFonts w:ascii="Arial" w:hAnsi="Arial"/>
          <w:noProof w:val="0"/>
          <w:rtl/>
        </w:rPr>
        <w:t xml:space="preserve">בעדות הנתבע אשר למימון הוצאות המשפחה, הוצאות אישיות באמצעות כרטיס האשראי, והרשום על שם חברת </w:t>
      </w:r>
      <w:r w:rsidR="00E400B2">
        <w:rPr>
          <w:rFonts w:ascii="Arial" w:hAnsi="Arial" w:hint="cs"/>
          <w:noProof w:val="0"/>
        </w:rPr>
        <w:t>TTT</w:t>
      </w:r>
      <w:r w:rsidRPr="00AE33D8">
        <w:rPr>
          <w:rFonts w:ascii="Arial" w:hAnsi="Arial"/>
          <w:noProof w:val="0"/>
          <w:rtl/>
        </w:rPr>
        <w:t xml:space="preserve"> הופיעו סכומים כספים גבוהים בגין רכיב של הוצאות. יש בהם כדי ללמד על אודות </w:t>
      </w:r>
      <w:r w:rsidRPr="00AE33D8">
        <w:rPr>
          <w:rFonts w:ascii="Arial" w:hAnsi="Arial"/>
          <w:b/>
          <w:bCs/>
          <w:noProof w:val="0"/>
          <w:rtl/>
        </w:rPr>
        <w:t>רמת חיים גבוהה</w:t>
      </w:r>
      <w:r w:rsidRPr="00AE33D8">
        <w:rPr>
          <w:rFonts w:ascii="Arial" w:hAnsi="Arial"/>
          <w:noProof w:val="0"/>
          <w:rtl/>
        </w:rPr>
        <w:t xml:space="preserve">, ועל כספים שמקורם אינו נובע מהחשבון המשותף גרידא (כגון: תשלום כניסה למועדון "גזיבו", טיפולים זוגיים, תשלום בסכום גבוה עבור ביגוד, טיפול פסיכולוגי, טיפולי לייזר, ציוד ספורט, אימון ספורט אישי וכיוצ"ב (עמ' 66 שו' 18-16, עמ' 69 שו' 5-4, 19-12, 33-32, עמ' 70 שו' 1, עמ' 90 שו' 32-20, עמ' 93 שו' 4-1 לפרוטוקול). </w:t>
      </w:r>
    </w:p>
    <w:p w:rsidR="006E4076" w:rsidRDefault="006E4076" w:rsidP="00AE33D8">
      <w:pPr>
        <w:spacing w:after="240" w:line="360" w:lineRule="auto"/>
        <w:ind w:firstLine="720"/>
        <w:contextualSpacing/>
        <w:jc w:val="both"/>
        <w:rPr>
          <w:rFonts w:ascii="Arial" w:hAnsi="Arial"/>
          <w:noProof w:val="0"/>
          <w:rtl/>
        </w:rPr>
      </w:pPr>
    </w:p>
    <w:p w:rsidR="00AE33D8" w:rsidRPr="00AE33D8" w:rsidRDefault="00AE33D8" w:rsidP="00AE33D8">
      <w:pPr>
        <w:spacing w:after="240" w:line="360" w:lineRule="auto"/>
        <w:ind w:firstLine="720"/>
        <w:contextualSpacing/>
        <w:jc w:val="both"/>
        <w:rPr>
          <w:rFonts w:ascii="David" w:hAnsi="David"/>
          <w:b/>
          <w:bCs/>
          <w:noProof w:val="0"/>
          <w:rtl/>
        </w:rPr>
      </w:pPr>
      <w:r w:rsidRPr="00AE33D8">
        <w:rPr>
          <w:rFonts w:ascii="Arial" w:hAnsi="Arial"/>
          <w:noProof w:val="0"/>
          <w:rtl/>
        </w:rPr>
        <w:t xml:space="preserve">עדות הנתבע לימדה על אודות רמת חיים גבוהה, שהתבטאה בחופשות משפחתיות וזוגיות תדירות בארץ ובחו"ל, חופשות סקי שנתיות של הנתבע וכיוצ"ב (ראו את עדות הנתבע בעמ' 67, שו' 9-8, 19-11, 32-29, עמ' 68 שו' 4-1, 11-10, 24-21 לפרוטוקול). </w:t>
      </w:r>
      <w:r w:rsidRPr="00AE33D8">
        <w:rPr>
          <w:rFonts w:ascii="David" w:hAnsi="David"/>
          <w:noProof w:val="0"/>
          <w:rtl/>
        </w:rPr>
        <w:t>עדותו חיזקה את טענת התובעת למימון הוצאות המשפחה ממקורות כספי מזומן, מלבד להפקדות ההכנסות בחשבון המשותף, שבה אישר את קבלתו כספי מזומן משוכרי נכסיו (עמ' 93 שו' 18-14 לפרוטוקול).</w:t>
      </w:r>
    </w:p>
    <w:p w:rsidR="00AE33D8" w:rsidRPr="00AE33D8" w:rsidRDefault="00AE33D8" w:rsidP="00AE33D8">
      <w:pPr>
        <w:spacing w:after="240" w:line="360" w:lineRule="auto"/>
        <w:contextualSpacing/>
        <w:jc w:val="both"/>
        <w:rPr>
          <w:rFonts w:ascii="David" w:hAnsi="David"/>
          <w:b/>
          <w:bCs/>
          <w:noProof w:val="0"/>
        </w:rPr>
      </w:pPr>
    </w:p>
    <w:p w:rsidR="00AE33D8" w:rsidRPr="00AE33D8" w:rsidRDefault="00AE33D8" w:rsidP="005F7457">
      <w:pPr>
        <w:numPr>
          <w:ilvl w:val="0"/>
          <w:numId w:val="11"/>
        </w:numPr>
        <w:spacing w:after="240" w:line="360" w:lineRule="auto"/>
        <w:ind w:left="0" w:firstLine="0"/>
        <w:contextualSpacing/>
        <w:jc w:val="both"/>
        <w:rPr>
          <w:rFonts w:ascii="David" w:hAnsi="David"/>
          <w:b/>
          <w:bCs/>
          <w:noProof w:val="0"/>
        </w:rPr>
      </w:pPr>
      <w:r w:rsidRPr="00AE33D8">
        <w:rPr>
          <w:rFonts w:ascii="Arial" w:hAnsi="Arial"/>
          <w:noProof w:val="0"/>
          <w:rtl/>
        </w:rPr>
        <w:t xml:space="preserve">בנסיבות הקיימות, ואף אם גובה ההוצאות הנטען על ידי התובעת הוא גבוה מזה שאותו הוציאו הצדדים בפועל, עדיין אין הדברים מתיישבים עם גרסת הנתבע – שלפיה, כלל הוצאות הצדדים לרבות החזר תשלום המשכנתה החודשי, שולמו כולם מתוך החשבון המשותף, שאליו הופקדו מידי חודש כ-18,500 ₪. בנסיבות שבהן רק החזר המשכנתא החודשי על דירת המגורים עמד בזמנו על סך של 8,400 ₪, ובשים לב לעובדה שלצדדים שלושה ילדים קטנים, כאשר הצעירה שבהם הייתה כבת שנתיים במועד הפירוד, </w:t>
      </w:r>
      <w:r w:rsidRPr="00AE33D8">
        <w:rPr>
          <w:rFonts w:ascii="Arial" w:hAnsi="Arial"/>
          <w:b/>
          <w:bCs/>
          <w:noProof w:val="0"/>
          <w:rtl/>
        </w:rPr>
        <w:t>עולה ספק רב בדבר אמינותה והיתכנותה של טענה זו, בשים לב, שגם כאן לא מצאתי את עדותו של הנתבע מהימנה.</w:t>
      </w:r>
    </w:p>
    <w:p w:rsidR="00AE33D8" w:rsidRPr="00AE33D8" w:rsidRDefault="00AE33D8" w:rsidP="005F7457">
      <w:pPr>
        <w:spacing w:after="240" w:line="360" w:lineRule="auto"/>
        <w:contextualSpacing/>
        <w:jc w:val="both"/>
        <w:rPr>
          <w:rFonts w:ascii="David" w:hAnsi="David"/>
          <w:b/>
          <w:bCs/>
          <w:noProof w:val="0"/>
        </w:rPr>
      </w:pPr>
    </w:p>
    <w:p w:rsidR="00AE33D8" w:rsidRPr="00AE33D8" w:rsidRDefault="00AE33D8" w:rsidP="005F7457">
      <w:pPr>
        <w:numPr>
          <w:ilvl w:val="0"/>
          <w:numId w:val="11"/>
        </w:numPr>
        <w:spacing w:after="240" w:line="360" w:lineRule="auto"/>
        <w:ind w:left="0" w:firstLine="0"/>
        <w:contextualSpacing/>
        <w:jc w:val="both"/>
        <w:rPr>
          <w:rFonts w:ascii="David" w:hAnsi="David"/>
          <w:b/>
          <w:bCs/>
          <w:noProof w:val="0"/>
        </w:rPr>
      </w:pPr>
      <w:r w:rsidRPr="00AE33D8">
        <w:rPr>
          <w:rFonts w:ascii="David" w:hAnsi="David"/>
          <w:noProof w:val="0"/>
          <w:rtl/>
        </w:rPr>
        <w:t>התובעת עתרה לסכום של 23,000 ₪ לחודש עבור מזונות הקטינים, ובסיכומיה הרחיבה את עתירתה למזונות אשה כך שישולמו לה 10,000 ₪ לחודש בגינן. מדובר בסכומים מופרזים שלא הוכחו כדבעי על ידי התובעת.</w:t>
      </w:r>
    </w:p>
    <w:p w:rsidR="00AE33D8" w:rsidRPr="00AE33D8" w:rsidRDefault="00AE33D8" w:rsidP="005F7457">
      <w:pPr>
        <w:tabs>
          <w:tab w:val="left" w:pos="-7"/>
        </w:tabs>
        <w:spacing w:after="240" w:line="360" w:lineRule="auto"/>
        <w:contextualSpacing/>
        <w:jc w:val="both"/>
        <w:rPr>
          <w:rFonts w:ascii="David" w:hAnsi="David"/>
        </w:rPr>
      </w:pPr>
    </w:p>
    <w:p w:rsidR="00AE33D8" w:rsidRPr="00AE33D8" w:rsidRDefault="00AE33D8" w:rsidP="005F7457">
      <w:pPr>
        <w:numPr>
          <w:ilvl w:val="0"/>
          <w:numId w:val="11"/>
        </w:numPr>
        <w:tabs>
          <w:tab w:val="left" w:pos="-7"/>
        </w:tabs>
        <w:spacing w:after="240" w:line="360" w:lineRule="auto"/>
        <w:ind w:left="0" w:firstLine="0"/>
        <w:contextualSpacing/>
        <w:jc w:val="both"/>
        <w:rPr>
          <w:rFonts w:ascii="David" w:hAnsi="David"/>
        </w:rPr>
      </w:pPr>
      <w:r w:rsidRPr="00AE33D8">
        <w:rPr>
          <w:rFonts w:ascii="David" w:hAnsi="David"/>
          <w:rtl/>
        </w:rPr>
        <w:t>הנה כי כן, נקבע זה מכבר בפסיקה, כי צרכיו הרגילים של קטין המתגורר בשני בתים עולים כדי 2,500-2,250 ₪ לחודש. פסיקה זו מתייחסת לאמת מידה ממוצעת של קטין, המתגורר בבית המאופיין ברמת חיים סטנדרטית. לא כן, עת עסקינן בקטין שהורגל ברמת חיים גבוהה המתגורר בבית אמיד. עת עסקינן, בהורה המחזיק בנכסים בעשרות מיליוני שקלים יש להניח, כי צרכי הבילוי, התרבות והפנאי של ילדו עולים בשיעור ניכר על צרכי ילד החי ברמת חיים ממוצעת, לרבות עלויות ביגוד והנעלה.</w:t>
      </w:r>
    </w:p>
    <w:p w:rsidR="00AE33D8" w:rsidRPr="00AE33D8" w:rsidRDefault="00AE33D8" w:rsidP="005F7457">
      <w:pPr>
        <w:tabs>
          <w:tab w:val="left" w:pos="-7"/>
        </w:tabs>
        <w:spacing w:after="240"/>
        <w:contextualSpacing/>
        <w:jc w:val="both"/>
        <w:rPr>
          <w:rFonts w:ascii="David" w:hAnsi="David"/>
          <w:rtl/>
        </w:rPr>
      </w:pPr>
    </w:p>
    <w:p w:rsidR="00AE33D8" w:rsidRDefault="00AE33D8" w:rsidP="00AE33D8">
      <w:pPr>
        <w:tabs>
          <w:tab w:val="left" w:pos="-7"/>
        </w:tabs>
        <w:spacing w:after="240" w:line="360" w:lineRule="auto"/>
        <w:contextualSpacing/>
        <w:jc w:val="both"/>
        <w:rPr>
          <w:rFonts w:ascii="David" w:hAnsi="David"/>
          <w:b/>
          <w:bCs/>
          <w:sz w:val="28"/>
          <w:szCs w:val="28"/>
          <w:u w:val="single"/>
          <w:rtl/>
        </w:rPr>
      </w:pPr>
      <w:r w:rsidRPr="00AE33D8">
        <w:rPr>
          <w:rFonts w:ascii="David" w:hAnsi="David"/>
          <w:b/>
          <w:bCs/>
          <w:sz w:val="28"/>
          <w:szCs w:val="28"/>
          <w:u w:val="single"/>
          <w:rtl/>
        </w:rPr>
        <w:lastRenderedPageBreak/>
        <w:t xml:space="preserve">התוצאה- חיוב גובה דמי המזונות </w:t>
      </w:r>
    </w:p>
    <w:p w:rsidR="00960E29" w:rsidRPr="00AE33D8" w:rsidRDefault="00960E29" w:rsidP="00AE33D8">
      <w:pPr>
        <w:tabs>
          <w:tab w:val="left" w:pos="-7"/>
        </w:tabs>
        <w:spacing w:after="240" w:line="360" w:lineRule="auto"/>
        <w:contextualSpacing/>
        <w:jc w:val="both"/>
        <w:rPr>
          <w:rFonts w:ascii="David" w:hAnsi="David"/>
          <w:b/>
          <w:bCs/>
          <w:sz w:val="28"/>
          <w:szCs w:val="28"/>
          <w:u w:val="single"/>
          <w:rtl/>
        </w:rPr>
      </w:pPr>
    </w:p>
    <w:p w:rsidR="00AE33D8" w:rsidRDefault="00AE33D8" w:rsidP="005F7457">
      <w:pPr>
        <w:numPr>
          <w:ilvl w:val="0"/>
          <w:numId w:val="11"/>
        </w:numPr>
        <w:tabs>
          <w:tab w:val="left" w:pos="-7"/>
        </w:tabs>
        <w:spacing w:after="240" w:line="360" w:lineRule="auto"/>
        <w:ind w:left="0" w:firstLine="0"/>
        <w:contextualSpacing/>
        <w:jc w:val="both"/>
        <w:rPr>
          <w:rFonts w:ascii="David" w:hAnsi="David"/>
        </w:rPr>
      </w:pPr>
      <w:r w:rsidRPr="00AE33D8">
        <w:rPr>
          <w:rFonts w:ascii="David" w:hAnsi="David"/>
          <w:rtl/>
        </w:rPr>
        <w:t xml:space="preserve">לאחר שעיינתי בכל אשר הונח לפניי ושקלתי את כלל השיקולים הנדרשים למקרה דנן, מצאתי להעריך את צרכיו של כל אחד מהקטינים בגין דמי מזונות, לא כולל מדור והחזקת מדור בשני הבתים, על פי התחשבות בהכנסות (17% תובעת אל מול 83% הנתבע), גילאי הקטינים ויחס הסדרי השהות (43% עם הנתבע אל מול 57% עם התובעת) כדלקמן: </w:t>
      </w:r>
    </w:p>
    <w:p w:rsidR="005F7457" w:rsidRPr="00AE33D8" w:rsidRDefault="005F7457" w:rsidP="005F7457">
      <w:pPr>
        <w:tabs>
          <w:tab w:val="left" w:pos="-7"/>
        </w:tabs>
        <w:spacing w:after="240"/>
        <w:contextualSpacing/>
        <w:jc w:val="both"/>
        <w:rPr>
          <w:rFonts w:ascii="David" w:hAnsi="David"/>
          <w:rtl/>
        </w:rPr>
      </w:pPr>
      <w:r>
        <w:rPr>
          <w:rFonts w:ascii="David" w:hAnsi="David"/>
          <w:b/>
          <w:bCs/>
          <w:rtl/>
        </w:rPr>
        <mc:AlternateContent>
          <mc:Choice Requires="wps">
            <w:drawing>
              <wp:anchor distT="0" distB="0" distL="114300" distR="114300" simplePos="0" relativeHeight="251670528" behindDoc="1" locked="0" layoutInCell="1" allowOverlap="1">
                <wp:simplePos x="0" y="0"/>
                <wp:positionH relativeFrom="column">
                  <wp:posOffset>-165735</wp:posOffset>
                </wp:positionH>
                <wp:positionV relativeFrom="paragraph">
                  <wp:posOffset>112833</wp:posOffset>
                </wp:positionV>
                <wp:extent cx="5395595" cy="4488288"/>
                <wp:effectExtent l="57150" t="38100" r="71755" b="102870"/>
                <wp:wrapNone/>
                <wp:docPr id="54" name="מלבן 54"/>
                <wp:cNvGraphicFramePr/>
                <a:graphic xmlns:a="http://schemas.openxmlformats.org/drawingml/2006/main">
                  <a:graphicData uri="http://schemas.microsoft.com/office/word/2010/wordprocessingShape">
                    <wps:wsp>
                      <wps:cNvSpPr/>
                      <wps:spPr>
                        <a:xfrm>
                          <a:off x="0" y="0"/>
                          <a:ext cx="5395595" cy="4488288"/>
                        </a:xfrm>
                        <a:prstGeom prst="rect">
                          <a:avLst/>
                        </a:prstGeom>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FAEAB8" id="מלבן 54" o:spid="_x0000_s1026" style="position:absolute;left:0;text-align:left;margin-left:-13.05pt;margin-top:8.9pt;width:424.85pt;height:353.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" fillcolor="gray [1616]" strokecolor="black [3040]">
                <v:fill color2="#d9d9d9 [496]" rotate="t" angle="180" colors="0 #bcbcbc;22938f #d0d0d0;1 #ededed" focus="100%" type="gradient"/>
                <v:shadow on="t" color="black" opacity="24903f" origin=",.5" offset="0,.55556mm"/>
              </v:rect>
            </w:pict>
          </mc:Fallback>
        </mc:AlternateContent>
      </w:r>
    </w:p>
    <w:p w:rsidR="00AE33D8" w:rsidRPr="00AE33D8" w:rsidRDefault="00AE33D8" w:rsidP="006E4076">
      <w:pPr>
        <w:numPr>
          <w:ilvl w:val="0"/>
          <w:numId w:val="19"/>
        </w:numPr>
        <w:tabs>
          <w:tab w:val="left" w:pos="-7"/>
        </w:tabs>
        <w:spacing w:after="240" w:line="360" w:lineRule="auto"/>
        <w:contextualSpacing/>
        <w:jc w:val="both"/>
        <w:rPr>
          <w:rFonts w:ascii="David" w:hAnsi="David"/>
          <w:b/>
          <w:bCs/>
          <w:u w:val="single"/>
        </w:rPr>
      </w:pPr>
      <w:r w:rsidRPr="00AE33D8">
        <w:rPr>
          <w:rFonts w:ascii="David" w:hAnsi="David"/>
          <w:b/>
          <w:bCs/>
          <w:u w:val="single"/>
          <w:rtl/>
        </w:rPr>
        <w:t xml:space="preserve">מזונות עבור הקטינים </w:t>
      </w:r>
      <w:r w:rsidR="006E4076">
        <w:rPr>
          <w:rFonts w:ascii="David" w:hAnsi="David" w:hint="cs"/>
          <w:b/>
          <w:bCs/>
          <w:u w:val="single"/>
          <w:rtl/>
        </w:rPr>
        <w:t>ר.ול.</w:t>
      </w:r>
      <w:r w:rsidRPr="00AE33D8">
        <w:rPr>
          <w:rFonts w:ascii="David" w:hAnsi="David"/>
          <w:b/>
          <w:bCs/>
          <w:u w:val="single"/>
          <w:rtl/>
        </w:rPr>
        <w:t xml:space="preserve"> אשר הם מעל גיל שש שנים- </w:t>
      </w:r>
    </w:p>
    <w:p w:rsidR="00AE33D8" w:rsidRPr="00AE33D8" w:rsidRDefault="00AE33D8" w:rsidP="00AE33D8">
      <w:pPr>
        <w:tabs>
          <w:tab w:val="left" w:pos="-7"/>
        </w:tabs>
        <w:spacing w:after="240" w:line="360" w:lineRule="auto"/>
        <w:contextualSpacing/>
        <w:jc w:val="both"/>
        <w:rPr>
          <w:rFonts w:ascii="David" w:hAnsi="David"/>
          <w:rtl/>
        </w:rPr>
      </w:pPr>
      <w:r w:rsidRPr="00AE33D8">
        <w:rPr>
          <w:rFonts w:ascii="David" w:hAnsi="David"/>
          <w:rtl/>
        </w:rPr>
        <w:tab/>
        <w:t>עבור צרכיים תלויי שהות -  3,500 ₪ לכל קטין.</w:t>
      </w:r>
    </w:p>
    <w:p w:rsidR="00AE33D8" w:rsidRPr="00AE33D8" w:rsidRDefault="00AE33D8" w:rsidP="00AE33D8">
      <w:pPr>
        <w:tabs>
          <w:tab w:val="left" w:pos="-7"/>
        </w:tabs>
        <w:spacing w:after="240" w:line="360" w:lineRule="auto"/>
        <w:contextualSpacing/>
        <w:jc w:val="both"/>
        <w:rPr>
          <w:rFonts w:ascii="David" w:hAnsi="David"/>
        </w:rPr>
      </w:pPr>
      <w:r w:rsidRPr="00AE33D8">
        <w:rPr>
          <w:rFonts w:ascii="David" w:hAnsi="David"/>
          <w:rtl/>
        </w:rPr>
        <w:tab/>
        <w:t xml:space="preserve">עבור צרכים שאינם תלויי שהות – 500 ₪ לכל קטין. </w:t>
      </w:r>
    </w:p>
    <w:p w:rsidR="00AE33D8" w:rsidRPr="00AE33D8" w:rsidRDefault="00AE33D8" w:rsidP="00AE33D8">
      <w:pPr>
        <w:tabs>
          <w:tab w:val="left" w:pos="-7"/>
        </w:tabs>
        <w:spacing w:after="240" w:line="360" w:lineRule="auto"/>
        <w:contextualSpacing/>
        <w:jc w:val="both"/>
        <w:rPr>
          <w:rFonts w:ascii="David" w:hAnsi="David"/>
          <w:rtl/>
        </w:rPr>
      </w:pPr>
    </w:p>
    <w:p w:rsidR="00AE33D8" w:rsidRPr="00AE33D8" w:rsidRDefault="00AE33D8" w:rsidP="00AE33D8">
      <w:pPr>
        <w:spacing w:after="240" w:line="360" w:lineRule="auto"/>
        <w:ind w:left="720"/>
        <w:contextualSpacing/>
        <w:jc w:val="both"/>
        <w:rPr>
          <w:rFonts w:ascii="David" w:hAnsi="David"/>
        </w:rPr>
      </w:pPr>
      <w:r w:rsidRPr="00AE33D8">
        <w:rPr>
          <w:rFonts w:ascii="David" w:hAnsi="David"/>
          <w:b/>
          <w:bCs/>
          <w:rtl/>
        </w:rPr>
        <w:t>בגין רכיב הוצאות תלויי שהות</w:t>
      </w:r>
      <w:r w:rsidRPr="00AE33D8">
        <w:rPr>
          <w:rFonts w:ascii="David" w:hAnsi="David"/>
          <w:rtl/>
        </w:rPr>
        <w:t xml:space="preserve">- נקבע תשלום מזונות בסך של 1,656 ₪ עבור כל קטין, ובסך הכל 3,312 ₪ עבור שני הקטינים. </w:t>
      </w:r>
    </w:p>
    <w:p w:rsidR="00AE33D8" w:rsidRPr="00AE33D8" w:rsidRDefault="00AE33D8" w:rsidP="00AE33D8">
      <w:pPr>
        <w:spacing w:after="240" w:line="360" w:lineRule="auto"/>
        <w:ind w:left="720"/>
        <w:contextualSpacing/>
        <w:jc w:val="both"/>
        <w:rPr>
          <w:rFonts w:ascii="David" w:hAnsi="David"/>
        </w:rPr>
      </w:pPr>
    </w:p>
    <w:p w:rsidR="00AE33D8" w:rsidRPr="00AE33D8" w:rsidRDefault="00AE33D8" w:rsidP="00AE33D8">
      <w:pPr>
        <w:spacing w:after="240" w:line="360" w:lineRule="auto"/>
        <w:ind w:left="720"/>
        <w:contextualSpacing/>
        <w:jc w:val="both"/>
        <w:rPr>
          <w:rFonts w:ascii="David" w:hAnsi="David"/>
          <w:b/>
          <w:bCs/>
        </w:rPr>
      </w:pPr>
      <w:r w:rsidRPr="00AE33D8">
        <w:rPr>
          <w:rFonts w:ascii="David" w:hAnsi="David"/>
          <w:b/>
          <w:bCs/>
          <w:rtl/>
        </w:rPr>
        <w:t xml:space="preserve">בגין רכיב הוצאות שאינן תלויות שהות - </w:t>
      </w:r>
      <w:r w:rsidRPr="00AE33D8">
        <w:rPr>
          <w:rFonts w:ascii="David" w:hAnsi="David"/>
          <w:rtl/>
        </w:rPr>
        <w:t xml:space="preserve">נקבע תשלום מזונות בסך של 415 ₪ עבור כל קטין, ובסך הכל 830 ₪ עבור שני הקטינים. </w:t>
      </w:r>
    </w:p>
    <w:p w:rsidR="00AE33D8" w:rsidRPr="00AE33D8" w:rsidRDefault="00AE33D8" w:rsidP="00AE33D8">
      <w:pPr>
        <w:spacing w:after="240" w:line="360" w:lineRule="auto"/>
        <w:ind w:left="720"/>
        <w:contextualSpacing/>
        <w:jc w:val="both"/>
        <w:rPr>
          <w:rFonts w:ascii="David" w:hAnsi="David"/>
          <w:b/>
          <w:bCs/>
          <w:rtl/>
        </w:rPr>
      </w:pPr>
    </w:p>
    <w:p w:rsidR="00AE33D8" w:rsidRPr="00AE33D8" w:rsidRDefault="00AE33D8" w:rsidP="00AE33D8">
      <w:pPr>
        <w:tabs>
          <w:tab w:val="left" w:pos="-7"/>
        </w:tabs>
        <w:spacing w:after="240" w:line="360" w:lineRule="auto"/>
        <w:ind w:left="720"/>
        <w:contextualSpacing/>
        <w:jc w:val="both"/>
        <w:rPr>
          <w:rFonts w:ascii="David" w:hAnsi="David"/>
          <w:b/>
          <w:bCs/>
          <w:rtl/>
        </w:rPr>
      </w:pPr>
      <w:r w:rsidRPr="00AE33D8">
        <w:rPr>
          <w:rFonts w:ascii="David" w:hAnsi="David"/>
          <w:b/>
          <w:bCs/>
          <w:rtl/>
        </w:rPr>
        <w:t>על כן, על הנתבע להעביר לידי התובעת דמי מזונות חודשיים בסך של 2,071 ₪ לכל קטין (4,142 ₪ עבור מזונות שני הקטינים).</w:t>
      </w:r>
    </w:p>
    <w:p w:rsidR="00AE33D8" w:rsidRPr="00AE33D8" w:rsidRDefault="00AE33D8" w:rsidP="00AE33D8">
      <w:pPr>
        <w:tabs>
          <w:tab w:val="left" w:pos="-7"/>
        </w:tabs>
        <w:spacing w:after="240" w:line="360" w:lineRule="auto"/>
        <w:ind w:left="720"/>
        <w:contextualSpacing/>
        <w:jc w:val="both"/>
        <w:rPr>
          <w:rFonts w:ascii="David" w:hAnsi="David"/>
          <w:u w:val="single"/>
          <w:rtl/>
        </w:rPr>
      </w:pPr>
    </w:p>
    <w:p w:rsidR="00AE33D8" w:rsidRPr="00AE33D8" w:rsidRDefault="00AE33D8" w:rsidP="00E400B2">
      <w:pPr>
        <w:numPr>
          <w:ilvl w:val="0"/>
          <w:numId w:val="19"/>
        </w:numPr>
        <w:tabs>
          <w:tab w:val="left" w:pos="-7"/>
        </w:tabs>
        <w:spacing w:after="240" w:line="360" w:lineRule="auto"/>
        <w:contextualSpacing/>
        <w:jc w:val="both"/>
        <w:rPr>
          <w:rFonts w:ascii="David" w:hAnsi="David"/>
        </w:rPr>
      </w:pPr>
      <w:r w:rsidRPr="00AE33D8">
        <w:rPr>
          <w:rFonts w:ascii="David" w:hAnsi="David"/>
          <w:b/>
          <w:bCs/>
          <w:u w:val="single"/>
          <w:rtl/>
        </w:rPr>
        <w:t>מזונות עבור הבת א</w:t>
      </w:r>
      <w:r w:rsidR="006E4076">
        <w:rPr>
          <w:rFonts w:ascii="David" w:hAnsi="David" w:hint="cs"/>
          <w:b/>
          <w:bCs/>
          <w:u w:val="single"/>
          <w:rtl/>
        </w:rPr>
        <w:t>.</w:t>
      </w:r>
      <w:r w:rsidRPr="00AE33D8">
        <w:rPr>
          <w:rFonts w:ascii="David" w:hAnsi="David"/>
          <w:b/>
          <w:bCs/>
          <w:u w:val="single"/>
          <w:rtl/>
        </w:rPr>
        <w:t>, שהיא בת מתחת לגיל שש שנים</w:t>
      </w:r>
      <w:r w:rsidRPr="00AE33D8">
        <w:rPr>
          <w:rFonts w:ascii="David" w:hAnsi="David"/>
          <w:rtl/>
        </w:rPr>
        <w:t xml:space="preserve"> - </w:t>
      </w:r>
      <w:r w:rsidRPr="00AE33D8">
        <w:rPr>
          <w:rFonts w:ascii="David" w:hAnsi="David"/>
          <w:b/>
          <w:bCs/>
          <w:rtl/>
        </w:rPr>
        <w:t>דמי המזונות יעמדו על סך של 3,000 ₪ לחודש</w:t>
      </w:r>
      <w:r w:rsidRPr="00AE33D8">
        <w:rPr>
          <w:rFonts w:ascii="David" w:hAnsi="David"/>
          <w:rtl/>
        </w:rPr>
        <w:t xml:space="preserve">, זהו סכום מזונותיה ההכרחיים, שבהם מחויב הנתבע נוכח גילה של הקטינה. במלאות שש שנים לקטינה </w:t>
      </w:r>
      <w:r w:rsidR="00E400B2">
        <w:rPr>
          <w:rFonts w:ascii="David" w:hAnsi="David" w:hint="cs"/>
          <w:rtl/>
        </w:rPr>
        <w:t>א.</w:t>
      </w:r>
      <w:r w:rsidRPr="00AE33D8">
        <w:rPr>
          <w:rFonts w:ascii="David" w:hAnsi="David"/>
          <w:rtl/>
        </w:rPr>
        <w:t xml:space="preserve">, יעמוד שיעור מזונותיה על סך </w:t>
      </w:r>
      <w:r w:rsidRPr="00AE33D8">
        <w:rPr>
          <w:rFonts w:ascii="David" w:hAnsi="David"/>
          <w:b/>
          <w:bCs/>
          <w:rtl/>
        </w:rPr>
        <w:t xml:space="preserve">2,071 ₪, </w:t>
      </w:r>
      <w:r w:rsidRPr="00AE33D8">
        <w:rPr>
          <w:rFonts w:ascii="David" w:hAnsi="David"/>
          <w:rtl/>
        </w:rPr>
        <w:t>על פי המנגנון שלפיו חושבו דמי מזונות שני אחיה.</w:t>
      </w:r>
    </w:p>
    <w:p w:rsidR="00AE33D8" w:rsidRPr="00AE33D8" w:rsidRDefault="00AE33D8" w:rsidP="00AE33D8">
      <w:pPr>
        <w:tabs>
          <w:tab w:val="left" w:pos="-7"/>
        </w:tabs>
        <w:spacing w:after="240" w:line="360" w:lineRule="auto"/>
        <w:ind w:left="720"/>
        <w:contextualSpacing/>
        <w:jc w:val="both"/>
        <w:rPr>
          <w:rFonts w:ascii="David" w:hAnsi="David"/>
        </w:rPr>
      </w:pPr>
    </w:p>
    <w:p w:rsidR="00AE33D8" w:rsidRPr="00AE33D8" w:rsidRDefault="00AE33D8" w:rsidP="006E4076">
      <w:pPr>
        <w:tabs>
          <w:tab w:val="left" w:pos="-7"/>
        </w:tabs>
        <w:spacing w:after="240" w:line="360" w:lineRule="auto"/>
        <w:ind w:left="720"/>
        <w:contextualSpacing/>
        <w:jc w:val="both"/>
        <w:rPr>
          <w:rFonts w:ascii="David" w:hAnsi="David"/>
        </w:rPr>
      </w:pPr>
      <w:r w:rsidRPr="00AE33D8">
        <w:rPr>
          <w:rFonts w:ascii="David" w:hAnsi="David"/>
          <w:b/>
          <w:bCs/>
          <w:rtl/>
        </w:rPr>
        <w:t>מדור הקטינה א</w:t>
      </w:r>
      <w:r w:rsidR="006E4076">
        <w:rPr>
          <w:rFonts w:ascii="David" w:hAnsi="David" w:hint="cs"/>
          <w:b/>
          <w:bCs/>
          <w:rtl/>
        </w:rPr>
        <w:t>.</w:t>
      </w:r>
      <w:r w:rsidRPr="00AE33D8">
        <w:rPr>
          <w:rFonts w:ascii="David" w:hAnsi="David"/>
          <w:rtl/>
        </w:rPr>
        <w:t xml:space="preserve"> – נוכח גילה של הקטינה, הנתבע יישא ב-30% מדמי המדור שבהם נושאת התובעת. חיוב זה יימשך עד להגיעה של הקטינה לגיל שש שנים.</w:t>
      </w:r>
    </w:p>
    <w:p w:rsidR="00AE33D8" w:rsidRPr="00AE33D8" w:rsidRDefault="00AE33D8" w:rsidP="00AE33D8">
      <w:pPr>
        <w:tabs>
          <w:tab w:val="left" w:pos="-7"/>
        </w:tabs>
        <w:spacing w:after="240" w:line="360" w:lineRule="auto"/>
        <w:ind w:left="-1"/>
        <w:contextualSpacing/>
        <w:jc w:val="both"/>
        <w:rPr>
          <w:rFonts w:ascii="David" w:hAnsi="David"/>
          <w:rtl/>
        </w:rPr>
      </w:pPr>
    </w:p>
    <w:p w:rsidR="00AE33D8" w:rsidRDefault="00AE33D8" w:rsidP="00AE33D8">
      <w:pPr>
        <w:tabs>
          <w:tab w:val="left" w:pos="-7"/>
        </w:tabs>
        <w:spacing w:after="240" w:line="360" w:lineRule="auto"/>
        <w:ind w:left="-1"/>
        <w:contextualSpacing/>
        <w:jc w:val="both"/>
        <w:rPr>
          <w:rFonts w:ascii="David" w:hAnsi="David"/>
          <w:b/>
          <w:bCs/>
          <w:u w:val="single"/>
          <w:rtl/>
        </w:rPr>
      </w:pPr>
      <w:r w:rsidRPr="00AE33D8">
        <w:rPr>
          <w:rFonts w:ascii="David" w:hAnsi="David"/>
          <w:b/>
          <w:bCs/>
          <w:u w:val="single"/>
          <w:rtl/>
        </w:rPr>
        <w:t>הנתבע יישא ב83% מהוצאות החריגות של הקטינים</w:t>
      </w:r>
    </w:p>
    <w:p w:rsidR="005F7457" w:rsidRPr="00AE33D8" w:rsidRDefault="005F7457" w:rsidP="00AE33D8">
      <w:pPr>
        <w:tabs>
          <w:tab w:val="left" w:pos="-7"/>
        </w:tabs>
        <w:spacing w:after="240" w:line="360" w:lineRule="auto"/>
        <w:ind w:left="-1"/>
        <w:contextualSpacing/>
        <w:jc w:val="both"/>
        <w:rPr>
          <w:rFonts w:ascii="David" w:hAnsi="David"/>
          <w:b/>
          <w:bCs/>
          <w:u w:val="single"/>
          <w:rtl/>
        </w:rPr>
      </w:pPr>
    </w:p>
    <w:p w:rsidR="00AE33D8" w:rsidRPr="00AE33D8" w:rsidRDefault="00AE33D8" w:rsidP="00AE33D8">
      <w:pPr>
        <w:numPr>
          <w:ilvl w:val="0"/>
          <w:numId w:val="19"/>
        </w:numPr>
        <w:tabs>
          <w:tab w:val="left" w:pos="-7"/>
        </w:tabs>
        <w:spacing w:after="240" w:line="360" w:lineRule="auto"/>
        <w:contextualSpacing/>
        <w:jc w:val="both"/>
        <w:rPr>
          <w:rFonts w:ascii="David" w:hAnsi="David"/>
          <w:rtl/>
        </w:rPr>
      </w:pPr>
      <w:r w:rsidRPr="00AE33D8">
        <w:rPr>
          <w:rFonts w:ascii="David" w:hAnsi="David"/>
          <w:b/>
          <w:bCs/>
          <w:rtl/>
        </w:rPr>
        <w:t>הוצאות החינוך של הקטינים-</w:t>
      </w:r>
      <w:r w:rsidRPr="00AE33D8">
        <w:rPr>
          <w:rFonts w:ascii="David" w:hAnsi="David"/>
          <w:rtl/>
        </w:rPr>
        <w:t xml:space="preserve"> תשלומי גן, תשלומי בית ספר, עד שני חוגים לכל ילד, עד קייטנה אחת לכל ילד בפסח וקייטנה אחת לכל ילד בחופש הגדול, צהרון, שיעורי עזר, וככל שיש מחלוקת אשר לצורך בהוצאה בגין שיעורי העזר בכפוף להמלצת המורה המקצועי/המחנך, ספרי לימוד, ועד, לוקרים, בניכוי מענק חינוך שישולם על ידי המל"ל ככל </w:t>
      </w:r>
      <w:r w:rsidRPr="00AE33D8">
        <w:rPr>
          <w:rFonts w:ascii="David" w:hAnsi="David"/>
          <w:rtl/>
        </w:rPr>
        <w:lastRenderedPageBreak/>
        <w:t>שישולם כזה, ולאחר מיצוי כל הנחה לה זכאים הצדדים. הוצאות אלו הן בכפוף להצגת קבלות.</w:t>
      </w:r>
    </w:p>
    <w:p w:rsidR="00AE33D8" w:rsidRPr="00AE33D8" w:rsidRDefault="00AE33D8" w:rsidP="005F7457">
      <w:pPr>
        <w:tabs>
          <w:tab w:val="left" w:pos="-7"/>
        </w:tabs>
        <w:spacing w:after="240"/>
        <w:ind w:left="720"/>
        <w:contextualSpacing/>
        <w:jc w:val="both"/>
        <w:rPr>
          <w:rFonts w:ascii="David" w:hAnsi="David"/>
        </w:rPr>
      </w:pPr>
    </w:p>
    <w:p w:rsidR="00AE33D8" w:rsidRPr="00AE33D8" w:rsidRDefault="00AE33D8" w:rsidP="00AE33D8">
      <w:pPr>
        <w:numPr>
          <w:ilvl w:val="0"/>
          <w:numId w:val="19"/>
        </w:numPr>
        <w:tabs>
          <w:tab w:val="left" w:pos="0"/>
        </w:tabs>
        <w:spacing w:after="240" w:line="360" w:lineRule="auto"/>
        <w:contextualSpacing/>
        <w:jc w:val="both"/>
        <w:rPr>
          <w:rFonts w:ascii="David" w:hAnsi="David"/>
        </w:rPr>
      </w:pPr>
      <w:r w:rsidRPr="00AE33D8">
        <w:rPr>
          <w:rFonts w:ascii="David" w:hAnsi="David"/>
          <w:b/>
          <w:bCs/>
          <w:rtl/>
        </w:rPr>
        <w:t>הוצאות הבריאות החריגות</w:t>
      </w:r>
      <w:r w:rsidRPr="00AE33D8">
        <w:rPr>
          <w:rFonts w:ascii="David" w:hAnsi="David"/>
          <w:rtl/>
        </w:rPr>
        <w:t xml:space="preserve"> - דמי ביטוח רפואי באמצעות קופת החולים או ביטוח פרטי אחר (ככל שהיה כזה טרם פרוץ הסכסוך) והוצאות רפואיות שאינן ממומנות באמצעות הביטוח הרפואי ו/או הביטוח הרפואי המשלים בכפוף להצגת קבלות. באמירה הוצאות רפואיות חריגות, נכללות גם הוצאות לטיפול אורתודנטי, טיפול שיניים, משקפיים, עדשות מגע, טיפולי לייזר, אבחונים וטיפול נפשי ורגשי. במקרה של מחלוקת בין הצדדים בדבר נחיצות ההוצאה, עלותה או ביצועה שלא באמצעות הביטוח הרפואי  תכריע עמדת הרופא המטפל בקטינים דרך קבע. הוצאות אלו הן בכפוף להצגת קבלות.</w:t>
      </w:r>
    </w:p>
    <w:p w:rsidR="00AE33D8" w:rsidRPr="00AE33D8" w:rsidRDefault="00AE33D8" w:rsidP="00AE33D8">
      <w:pPr>
        <w:spacing w:after="120" w:line="276" w:lineRule="auto"/>
        <w:ind w:left="720"/>
        <w:contextualSpacing/>
        <w:rPr>
          <w:rFonts w:ascii="David" w:hAnsi="David"/>
        </w:rPr>
      </w:pPr>
    </w:p>
    <w:p w:rsidR="00AE33D8" w:rsidRPr="00AE33D8" w:rsidRDefault="00AE33D8" w:rsidP="00AE33D8">
      <w:pPr>
        <w:numPr>
          <w:ilvl w:val="0"/>
          <w:numId w:val="19"/>
        </w:numPr>
        <w:spacing w:after="240" w:line="360" w:lineRule="auto"/>
        <w:contextualSpacing/>
        <w:jc w:val="both"/>
        <w:rPr>
          <w:rFonts w:ascii="Arial" w:hAnsi="Arial"/>
          <w:noProof w:val="0"/>
          <w:rtl/>
        </w:rPr>
      </w:pPr>
      <w:r w:rsidRPr="00AE33D8">
        <w:rPr>
          <w:rFonts w:ascii="David" w:hAnsi="David"/>
          <w:b/>
          <w:bCs/>
          <w:rtl/>
        </w:rPr>
        <w:t>הוצאות חריגות נוספות</w:t>
      </w:r>
      <w:r w:rsidRPr="00AE33D8">
        <w:rPr>
          <w:rFonts w:ascii="David" w:hAnsi="David"/>
          <w:rtl/>
        </w:rPr>
        <w:t xml:space="preserve"> – רב קו,</w:t>
      </w:r>
      <w:r w:rsidRPr="00AE33D8">
        <w:rPr>
          <w:rFonts w:ascii="Arial" w:hAnsi="Arial"/>
          <w:noProof w:val="0"/>
          <w:rtl/>
        </w:rPr>
        <w:t xml:space="preserve"> תספורת לכל ילד בממוצע של 60 ₪ לחודש, מתנות לאירועים של הילדים בבית הספר וחגיגות יום הולדת אצל חבריהם ללימודים בעלות ממוצעת של 75 ₪ לכל מתנה, ועם הגיע לבר מצוות או בת מצווה - 150 ₪, תחפושת לפורים ומשלוח מנות, טלפון נייד + דמי החזקה, מחשב נייד, אופניים. הוצאות אלו הן בכפוף, להצגת קבלות או אסמכתאות.</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numPr>
          <w:ilvl w:val="0"/>
          <w:numId w:val="19"/>
        </w:numPr>
        <w:spacing w:after="240" w:line="360" w:lineRule="auto"/>
        <w:contextualSpacing/>
        <w:jc w:val="both"/>
        <w:rPr>
          <w:rFonts w:ascii="Arial" w:hAnsi="Arial"/>
          <w:noProof w:val="0"/>
          <w:rtl/>
        </w:rPr>
      </w:pPr>
      <w:r w:rsidRPr="00AE33D8">
        <w:rPr>
          <w:rFonts w:ascii="Arial" w:hAnsi="Arial"/>
          <w:noProof w:val="0"/>
          <w:rtl/>
        </w:rPr>
        <w:t>כל הוצאה חריגה אחרת שלא נכללת לעיל, ובלבד ששני ההורים הסכימו להוצאה זו באופן מתועד (לרבות בתקשורת המתועדת).</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numPr>
          <w:ilvl w:val="0"/>
          <w:numId w:val="19"/>
        </w:numPr>
        <w:spacing w:after="240" w:line="360" w:lineRule="auto"/>
        <w:contextualSpacing/>
        <w:jc w:val="both"/>
        <w:rPr>
          <w:rFonts w:ascii="Arial" w:hAnsi="Arial"/>
          <w:noProof w:val="0"/>
          <w:rtl/>
        </w:rPr>
      </w:pPr>
      <w:r w:rsidRPr="00AE33D8">
        <w:rPr>
          <w:rFonts w:ascii="Arial" w:hAnsi="Arial"/>
          <w:noProof w:val="0"/>
          <w:rtl/>
        </w:rPr>
        <w:t xml:space="preserve">הורה אשר יישא בסכום העולה על שיעור חלקו בגין ההוצאות המפורטות לעיל ("ההורה המשלם") יקבל מהורה השני ("ההורה החייב") את חלקו לפי האמור לעיל, וזאת עד ליום העשירי בכל חודש, כאשר ההתחשבנות תכלול את כל החיובים בגין החודש החולף, וזאת כנגד הצגת קבלה או אסמכתה מתאימה בגין ההוצאה. </w:t>
      </w:r>
    </w:p>
    <w:p w:rsidR="00AE33D8" w:rsidRPr="00AE33D8" w:rsidRDefault="00AE33D8" w:rsidP="00AE33D8">
      <w:pPr>
        <w:spacing w:after="120" w:line="276" w:lineRule="auto"/>
        <w:ind w:left="720"/>
        <w:contextualSpacing/>
        <w:rPr>
          <w:rFonts w:ascii="Arial" w:hAnsi="Arial"/>
          <w:noProof w:val="0"/>
        </w:rPr>
      </w:pPr>
    </w:p>
    <w:p w:rsidR="00AE33D8" w:rsidRPr="00AE33D8" w:rsidRDefault="00AE33D8" w:rsidP="00AE33D8">
      <w:pPr>
        <w:numPr>
          <w:ilvl w:val="0"/>
          <w:numId w:val="19"/>
        </w:numPr>
        <w:spacing w:after="240" w:line="360" w:lineRule="auto"/>
        <w:contextualSpacing/>
        <w:jc w:val="both"/>
        <w:rPr>
          <w:rFonts w:ascii="Arial" w:hAnsi="Arial"/>
          <w:noProof w:val="0"/>
          <w:rtl/>
        </w:rPr>
      </w:pPr>
      <w:r w:rsidRPr="00AE33D8">
        <w:rPr>
          <w:rFonts w:ascii="Arial" w:hAnsi="Arial"/>
          <w:noProof w:val="0"/>
          <w:rtl/>
        </w:rPr>
        <w:t xml:space="preserve">כל הודעה ומידע לרבות מסמכים, בכל הקשור לחיובי המזונות, שעל הורה אחד להעביר להורה השני, יועבר באחד מאופני התקשורת הבאים – באמצעות "תקשורת מתועדת": דוא"ל / תקשורת סלולרית (כגון: </w:t>
      </w:r>
      <w:r w:rsidRPr="00AE33D8">
        <w:rPr>
          <w:rFonts w:ascii="Arial" w:hAnsi="Arial"/>
          <w:noProof w:val="0"/>
        </w:rPr>
        <w:t>WhatsApp</w:t>
      </w:r>
      <w:r w:rsidRPr="00AE33D8">
        <w:rPr>
          <w:rFonts w:ascii="Arial" w:hAnsi="Arial"/>
          <w:noProof w:val="0"/>
          <w:rtl/>
        </w:rPr>
        <w:t xml:space="preserve">) דואר רשום, כאשר ההורה השולח איננו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 / מסמכים.  </w:t>
      </w:r>
    </w:p>
    <w:p w:rsidR="00AE33D8" w:rsidRPr="00AE33D8" w:rsidRDefault="00AE33D8" w:rsidP="00AE33D8">
      <w:pPr>
        <w:spacing w:after="240" w:line="360" w:lineRule="auto"/>
        <w:ind w:left="720"/>
        <w:contextualSpacing/>
        <w:jc w:val="both"/>
        <w:rPr>
          <w:rFonts w:ascii="Arial" w:hAnsi="Arial"/>
          <w:noProof w:val="0"/>
          <w:rtl/>
        </w:rPr>
      </w:pPr>
    </w:p>
    <w:p w:rsidR="00AE33D8" w:rsidRPr="00AE33D8" w:rsidRDefault="00AE33D8" w:rsidP="00E400B2">
      <w:pPr>
        <w:numPr>
          <w:ilvl w:val="0"/>
          <w:numId w:val="11"/>
        </w:numPr>
        <w:tabs>
          <w:tab w:val="left" w:pos="141"/>
          <w:tab w:val="left" w:pos="708"/>
        </w:tabs>
        <w:spacing w:after="200" w:line="360" w:lineRule="auto"/>
        <w:ind w:left="0" w:firstLine="0"/>
        <w:contextualSpacing/>
        <w:jc w:val="both"/>
        <w:rPr>
          <w:rFonts w:ascii="David" w:hAnsi="David"/>
          <w:rtl/>
        </w:rPr>
      </w:pPr>
      <w:r w:rsidRPr="00AE33D8">
        <w:rPr>
          <w:rFonts w:ascii="Arial" w:hAnsi="Arial"/>
          <w:b/>
          <w:bCs/>
          <w:noProof w:val="0"/>
          <w:rtl/>
        </w:rPr>
        <w:t>בנוגע לתשלומי המשכנתה וביטוח הבית</w:t>
      </w:r>
      <w:r w:rsidRPr="00AE33D8">
        <w:rPr>
          <w:rFonts w:ascii="Arial" w:hAnsi="Arial"/>
          <w:noProof w:val="0"/>
          <w:rtl/>
        </w:rPr>
        <w:t xml:space="preserve"> – הצדדים יישאו בחלקים שווים. </w:t>
      </w:r>
      <w:r w:rsidRPr="00AE33D8">
        <w:rPr>
          <w:rFonts w:ascii="David" w:hAnsi="David"/>
          <w:rtl/>
        </w:rPr>
        <w:t xml:space="preserve">משכך גם לא חייבתי ברכיב המדור והוצאותיו בנוגע לשני הקטינים </w:t>
      </w:r>
      <w:r w:rsidR="00E400B2">
        <w:rPr>
          <w:rFonts w:ascii="David" w:hAnsi="David" w:hint="cs"/>
          <w:rtl/>
        </w:rPr>
        <w:t>ר.ול.</w:t>
      </w:r>
      <w:r w:rsidRPr="00AE33D8">
        <w:rPr>
          <w:rFonts w:ascii="David" w:hAnsi="David"/>
          <w:rtl/>
        </w:rPr>
        <w:t xml:space="preserve">, נוכח מגורי התובעת בבית המגורים. </w:t>
      </w:r>
    </w:p>
    <w:p w:rsidR="00AE33D8" w:rsidRPr="00AE33D8" w:rsidRDefault="00AE33D8" w:rsidP="005F7457">
      <w:pPr>
        <w:tabs>
          <w:tab w:val="left" w:pos="141"/>
          <w:tab w:val="left" w:pos="708"/>
        </w:tabs>
        <w:spacing w:after="200" w:line="360" w:lineRule="auto"/>
        <w:contextualSpacing/>
        <w:jc w:val="both"/>
        <w:rPr>
          <w:rFonts w:ascii="David" w:hAnsi="David"/>
        </w:rPr>
      </w:pPr>
    </w:p>
    <w:p w:rsidR="00AE33D8" w:rsidRPr="00AE33D8" w:rsidRDefault="00AE33D8" w:rsidP="005F7457">
      <w:pPr>
        <w:numPr>
          <w:ilvl w:val="0"/>
          <w:numId w:val="11"/>
        </w:numPr>
        <w:tabs>
          <w:tab w:val="left" w:pos="141"/>
          <w:tab w:val="left" w:pos="708"/>
        </w:tabs>
        <w:spacing w:after="200" w:line="360" w:lineRule="auto"/>
        <w:ind w:left="0" w:firstLine="0"/>
        <w:contextualSpacing/>
        <w:jc w:val="both"/>
        <w:rPr>
          <w:rFonts w:ascii="David" w:hAnsi="David"/>
        </w:rPr>
      </w:pPr>
      <w:r w:rsidRPr="00AE33D8">
        <w:rPr>
          <w:rFonts w:ascii="David" w:hAnsi="David"/>
          <w:rtl/>
        </w:rPr>
        <w:lastRenderedPageBreak/>
        <w:t>נוכח פערי הכנסות המשמעותיים בין הצדדים, רכושו הרב של הנתבע והכנסתו הגבוהה, עם מכירת הבית, וככל שהתובעת תשכור דירה או תישא בתשלום החזר משכנתה, יחויב הנתבע בתשלום 50% מדמי המדור החודשיים, שבהם תישא התובעת, בגין חיובו בחלקם של הקטינים בהם. הסכום יוגבל לחיוב של 3,750 ₪ לחודש, בכפוף להצגת הנתבעת הסכם שכירות בתוקף או החזר חודשי של תשלומי משכנתה.</w:t>
      </w:r>
    </w:p>
    <w:p w:rsidR="00AE33D8" w:rsidRPr="00AE33D8" w:rsidRDefault="00AE33D8" w:rsidP="005F7457">
      <w:pPr>
        <w:tabs>
          <w:tab w:val="left" w:pos="141"/>
          <w:tab w:val="left" w:pos="708"/>
        </w:tabs>
        <w:spacing w:after="200" w:line="360" w:lineRule="auto"/>
        <w:contextualSpacing/>
        <w:jc w:val="both"/>
        <w:rPr>
          <w:rFonts w:ascii="David" w:hAnsi="David"/>
        </w:rPr>
      </w:pPr>
    </w:p>
    <w:p w:rsidR="00AE33D8" w:rsidRPr="00AE33D8" w:rsidRDefault="00AE33D8" w:rsidP="005F7457">
      <w:pPr>
        <w:numPr>
          <w:ilvl w:val="0"/>
          <w:numId w:val="11"/>
        </w:numPr>
        <w:tabs>
          <w:tab w:val="left" w:pos="0"/>
          <w:tab w:val="left" w:pos="141"/>
        </w:tabs>
        <w:spacing w:after="240" w:line="360" w:lineRule="auto"/>
        <w:ind w:left="0" w:firstLine="0"/>
        <w:contextualSpacing/>
        <w:jc w:val="both"/>
        <w:rPr>
          <w:rFonts w:ascii="David" w:hAnsi="David"/>
        </w:rPr>
      </w:pPr>
      <w:r w:rsidRPr="00AE33D8">
        <w:rPr>
          <w:rFonts w:ascii="David" w:hAnsi="David"/>
          <w:b/>
          <w:bCs/>
          <w:rtl/>
        </w:rPr>
        <w:t xml:space="preserve"> </w:t>
      </w:r>
      <w:r w:rsidRPr="00AE33D8">
        <w:rPr>
          <w:rFonts w:ascii="David" w:hAnsi="David"/>
          <w:noProof w:val="0"/>
          <w:rtl/>
        </w:rPr>
        <w:t>דמי המזונות ישולמו מידי חודש בחודשו, עד ה-5 לחודש עבור החודש השוטף, ישירות לחשבון הבנק של התובעת שפרטיו יימסרו לנתבע על ידי התובעת, וזאת עד הגיע כל קטין לגיל 18 או עד סיום המסגרת החינוכית לפי המאוחר (להלן – "</w:t>
      </w:r>
      <w:r w:rsidRPr="00AE33D8">
        <w:rPr>
          <w:rFonts w:ascii="David" w:hAnsi="David"/>
          <w:b/>
          <w:bCs/>
          <w:noProof w:val="0"/>
          <w:rtl/>
        </w:rPr>
        <w:t>התקופה הראשונה</w:t>
      </w:r>
      <w:r w:rsidRPr="00AE33D8">
        <w:rPr>
          <w:rFonts w:ascii="David" w:hAnsi="David"/>
          <w:noProof w:val="0"/>
          <w:rtl/>
        </w:rPr>
        <w:t xml:space="preserve">"). עם תום התקופה הראשונה ובמהלך השירות הצבאי הסדיר או השירות הלאומי יעמדו דמי המזונות על 1/3 כפי גובה ערב תשלומם. </w:t>
      </w:r>
    </w:p>
    <w:p w:rsidR="00AE33D8" w:rsidRPr="00AE33D8" w:rsidRDefault="00AE33D8" w:rsidP="00AE33D8">
      <w:pPr>
        <w:spacing w:after="120" w:line="276" w:lineRule="auto"/>
        <w:ind w:left="720"/>
        <w:contextualSpacing/>
        <w:rPr>
          <w:rFonts w:ascii="David" w:hAnsi="David"/>
        </w:rPr>
      </w:pPr>
    </w:p>
    <w:p w:rsidR="00AE33D8" w:rsidRPr="00AE33D8" w:rsidRDefault="00AE33D8" w:rsidP="005F7457">
      <w:pPr>
        <w:numPr>
          <w:ilvl w:val="0"/>
          <w:numId w:val="11"/>
        </w:numPr>
        <w:tabs>
          <w:tab w:val="left" w:pos="0"/>
          <w:tab w:val="left" w:pos="141"/>
        </w:tabs>
        <w:spacing w:after="240" w:line="360" w:lineRule="auto"/>
        <w:ind w:left="-1" w:firstLine="1"/>
        <w:contextualSpacing/>
        <w:jc w:val="both"/>
        <w:rPr>
          <w:rFonts w:ascii="David" w:hAnsi="David"/>
          <w:rtl/>
        </w:rPr>
      </w:pPr>
      <w:r w:rsidRPr="00AE33D8">
        <w:rPr>
          <w:rFonts w:ascii="David" w:hAnsi="David"/>
          <w:noProof w:val="0"/>
          <w:rtl/>
        </w:rPr>
        <w:t>קצבת המוסד לביטוח לאומי עבור הקטינים וכל קצבה אחרת, תשולם לידי התובעת ותתווסף לדמי המזונות שנפסקו לעיל.</w:t>
      </w:r>
    </w:p>
    <w:p w:rsidR="00AE33D8" w:rsidRPr="00AE33D8" w:rsidRDefault="00AE33D8" w:rsidP="005F7457">
      <w:pPr>
        <w:spacing w:after="120" w:line="276" w:lineRule="auto"/>
        <w:ind w:left="-1" w:firstLine="1"/>
        <w:contextualSpacing/>
        <w:rPr>
          <w:rFonts w:ascii="David" w:hAnsi="David"/>
        </w:rPr>
      </w:pPr>
    </w:p>
    <w:p w:rsidR="00AE33D8" w:rsidRPr="00AE33D8" w:rsidRDefault="00AE33D8" w:rsidP="005F7457">
      <w:pPr>
        <w:numPr>
          <w:ilvl w:val="0"/>
          <w:numId w:val="11"/>
        </w:numPr>
        <w:spacing w:after="240" w:line="360" w:lineRule="auto"/>
        <w:ind w:left="-1" w:firstLine="1"/>
        <w:contextualSpacing/>
        <w:jc w:val="both"/>
        <w:rPr>
          <w:rFonts w:ascii="David" w:hAnsi="David"/>
          <w:rtl/>
        </w:rPr>
      </w:pPr>
      <w:r w:rsidRPr="00AE33D8">
        <w:rPr>
          <w:rFonts w:ascii="David" w:hAnsi="David"/>
          <w:b/>
          <w:bCs/>
          <w:rtl/>
        </w:rPr>
        <w:t xml:space="preserve"> </w:t>
      </w:r>
      <w:r w:rsidRPr="00AE33D8">
        <w:rPr>
          <w:rFonts w:ascii="David" w:hAnsi="David"/>
          <w:sz w:val="18"/>
          <w:rtl/>
        </w:rPr>
        <w:t xml:space="preserve">דמי המזונות יהיו צמודים למדד המחירים לצרכן ויעודכנו אחת ל-3 חודשים, ללא הפרשים רטרואקטיביים בין תקופה אחת לרעותה. מדד הבסיס לחישוב יהיה מדד החודש שבו נפסקים דמי מזונות זמניים אלה, כפי שיפורסם ב-15 לחודש השוטף אחריו והתחשיב יעשה לעומת המדד הידוע בעת עריכת תחשיב ההצמדה. </w:t>
      </w:r>
      <w:r w:rsidRPr="00AE33D8">
        <w:rPr>
          <w:rFonts w:ascii="David" w:hAnsi="David"/>
          <w:rtl/>
        </w:rPr>
        <w:t>מדדים שליליים לא יובאו בחשבון.</w:t>
      </w:r>
    </w:p>
    <w:p w:rsidR="00AE33D8" w:rsidRPr="00AE33D8" w:rsidRDefault="00AE33D8" w:rsidP="005F7457">
      <w:pPr>
        <w:spacing w:after="120" w:line="276" w:lineRule="auto"/>
        <w:ind w:left="720" w:firstLine="1"/>
        <w:contextualSpacing/>
        <w:rPr>
          <w:rFonts w:ascii="David" w:hAnsi="David"/>
        </w:rPr>
      </w:pPr>
    </w:p>
    <w:p w:rsidR="00AE33D8" w:rsidRPr="00AE33D8" w:rsidRDefault="00AE33D8" w:rsidP="005F7457">
      <w:pPr>
        <w:numPr>
          <w:ilvl w:val="0"/>
          <w:numId w:val="11"/>
        </w:numPr>
        <w:spacing w:after="240" w:line="360" w:lineRule="auto"/>
        <w:ind w:left="-1" w:firstLine="1"/>
        <w:contextualSpacing/>
        <w:jc w:val="both"/>
        <w:rPr>
          <w:rFonts w:ascii="David" w:hAnsi="David"/>
          <w:rtl/>
        </w:rPr>
      </w:pPr>
      <w:r w:rsidRPr="00AE33D8">
        <w:rPr>
          <w:rFonts w:ascii="David" w:hAnsi="David"/>
          <w:noProof w:val="0"/>
          <w:rtl/>
        </w:rPr>
        <w:t xml:space="preserve">סכום שלא שולם במועדו יישא ריבית והפרשי הצמדה כחוק, בין היום שנועד לתשלום לבין הפירעון המלא בפועל. </w:t>
      </w:r>
    </w:p>
    <w:p w:rsidR="00AE33D8" w:rsidRPr="00AE33D8" w:rsidRDefault="00AE33D8" w:rsidP="00AE33D8">
      <w:pPr>
        <w:spacing w:after="120" w:line="276" w:lineRule="auto"/>
        <w:ind w:left="720"/>
        <w:contextualSpacing/>
        <w:rPr>
          <w:rFonts w:ascii="David" w:hAnsi="David"/>
        </w:rPr>
      </w:pPr>
    </w:p>
    <w:p w:rsidR="00AE33D8" w:rsidRPr="00AE33D8" w:rsidRDefault="00AE33D8" w:rsidP="005F7457">
      <w:pPr>
        <w:numPr>
          <w:ilvl w:val="0"/>
          <w:numId w:val="11"/>
        </w:numPr>
        <w:spacing w:after="240" w:line="360" w:lineRule="auto"/>
        <w:ind w:left="-1" w:firstLine="1"/>
        <w:contextualSpacing/>
        <w:jc w:val="both"/>
        <w:rPr>
          <w:rFonts w:ascii="David" w:hAnsi="David"/>
          <w:rtl/>
        </w:rPr>
      </w:pPr>
      <w:r w:rsidRPr="00AE33D8">
        <w:rPr>
          <w:rFonts w:ascii="David" w:hAnsi="David"/>
          <w:rtl/>
        </w:rPr>
        <w:t>כל החיובים שבסעיפים 123-120 נחשבים כחיובי מזונות לשם גבייתם בהוצאה לפועל במידת הצורך.</w:t>
      </w:r>
    </w:p>
    <w:p w:rsidR="00AE33D8" w:rsidRPr="00AE33D8" w:rsidRDefault="00AE33D8" w:rsidP="005F7457">
      <w:pPr>
        <w:spacing w:after="120" w:line="276" w:lineRule="auto"/>
        <w:ind w:left="720" w:firstLine="1"/>
        <w:contextualSpacing/>
        <w:rPr>
          <w:rFonts w:ascii="David" w:hAnsi="David"/>
        </w:rPr>
      </w:pPr>
    </w:p>
    <w:p w:rsidR="00AE33D8" w:rsidRPr="00AE33D8" w:rsidRDefault="00AE33D8" w:rsidP="00465AE3">
      <w:pPr>
        <w:numPr>
          <w:ilvl w:val="0"/>
          <w:numId w:val="11"/>
        </w:numPr>
        <w:spacing w:after="240" w:line="360" w:lineRule="auto"/>
        <w:ind w:left="0" w:firstLine="1"/>
        <w:contextualSpacing/>
        <w:jc w:val="both"/>
        <w:rPr>
          <w:rFonts w:ascii="David" w:hAnsi="David"/>
          <w:rtl/>
        </w:rPr>
      </w:pPr>
      <w:r w:rsidRPr="00AE33D8">
        <w:rPr>
          <w:rFonts w:ascii="Arial" w:hAnsi="Arial"/>
          <w:noProof w:val="0"/>
          <w:rtl/>
        </w:rPr>
        <w:t xml:space="preserve">תוקף החיוב –ממועד מתן פסק הדין. עד למועד זה, יחולו הוראות ההחלטה.  </w:t>
      </w:r>
    </w:p>
    <w:p w:rsidR="00AE33D8" w:rsidRPr="00AE33D8" w:rsidRDefault="00AE33D8" w:rsidP="00AE33D8">
      <w:pPr>
        <w:spacing w:after="120" w:line="276" w:lineRule="auto"/>
        <w:ind w:left="720"/>
        <w:contextualSpacing/>
        <w:rPr>
          <w:rFonts w:ascii="David" w:hAnsi="David"/>
        </w:rPr>
      </w:pPr>
    </w:p>
    <w:p w:rsidR="00AE33D8" w:rsidRPr="00AE33D8" w:rsidRDefault="00AE33D8" w:rsidP="00AE33D8">
      <w:pPr>
        <w:spacing w:after="240" w:line="360" w:lineRule="auto"/>
        <w:jc w:val="both"/>
        <w:rPr>
          <w:rFonts w:ascii="Arial" w:hAnsi="Arial"/>
          <w:b/>
          <w:bCs/>
          <w:noProof w:val="0"/>
          <w:sz w:val="28"/>
          <w:szCs w:val="28"/>
          <w:u w:val="single"/>
          <w:rtl/>
        </w:rPr>
      </w:pPr>
      <w:r w:rsidRPr="00AE33D8">
        <w:rPr>
          <w:rFonts w:ascii="Arial" w:hAnsi="Arial"/>
          <w:b/>
          <w:bCs/>
          <w:noProof w:val="0"/>
          <w:sz w:val="28"/>
          <w:szCs w:val="28"/>
          <w:u w:val="single"/>
          <w:rtl/>
        </w:rPr>
        <w:t>הוצאות משפט</w:t>
      </w:r>
    </w:p>
    <w:p w:rsidR="00AE33D8" w:rsidRDefault="00AE33D8" w:rsidP="00AE33D8">
      <w:pPr>
        <w:numPr>
          <w:ilvl w:val="0"/>
          <w:numId w:val="11"/>
        </w:numPr>
        <w:spacing w:after="240" w:line="360" w:lineRule="auto"/>
        <w:ind w:left="708" w:hanging="709"/>
        <w:contextualSpacing/>
        <w:jc w:val="both"/>
        <w:rPr>
          <w:rFonts w:ascii="David" w:eastAsia="Calibri" w:hAnsi="David"/>
        </w:rPr>
      </w:pPr>
      <w:r w:rsidRPr="00AE33D8">
        <w:rPr>
          <w:rFonts w:ascii="David" w:eastAsia="Calibri" w:hAnsi="David"/>
          <w:rtl/>
        </w:rPr>
        <w:t xml:space="preserve">משתמה ההכרעה בתובענה - יש להידרש לשאלת ההוצאות. </w:t>
      </w:r>
    </w:p>
    <w:p w:rsidR="00960E29" w:rsidRPr="00AE33D8" w:rsidRDefault="00960E29" w:rsidP="00960E29">
      <w:pPr>
        <w:spacing w:after="240" w:line="360" w:lineRule="auto"/>
        <w:ind w:left="708"/>
        <w:contextualSpacing/>
        <w:jc w:val="both"/>
        <w:rPr>
          <w:rFonts w:ascii="David" w:eastAsia="Calibri" w:hAnsi="David"/>
        </w:rPr>
      </w:pPr>
    </w:p>
    <w:p w:rsidR="00AE33D8" w:rsidRPr="00AE33D8" w:rsidRDefault="00AE33D8" w:rsidP="00465AE3">
      <w:pPr>
        <w:numPr>
          <w:ilvl w:val="0"/>
          <w:numId w:val="11"/>
        </w:numPr>
        <w:spacing w:after="240" w:line="360" w:lineRule="auto"/>
        <w:ind w:left="0" w:firstLine="0"/>
        <w:jc w:val="both"/>
        <w:rPr>
          <w:rFonts w:ascii="David" w:eastAsia="Calibri" w:hAnsi="David"/>
          <w:noProof w:val="0"/>
        </w:rPr>
      </w:pPr>
      <w:r w:rsidRPr="00AE33D8">
        <w:rPr>
          <w:rFonts w:ascii="David" w:eastAsia="Calibri" w:hAnsi="David"/>
          <w:noProof w:val="0"/>
          <w:rtl/>
        </w:rPr>
        <w:t xml:space="preserve">משעה שהוראת תקנה 113 לתקנות בית המשפט לענייני משפחה (סדרי דין), התשפ"א-2020 מפנה להוראת תקנה 155 לתקנות סדר הדין האזרחי, התשע"ט-2018, והפסיקה כפי שנתגבשה במרוצת השנים. כך למשל בע"א 136/92 </w:t>
      </w:r>
      <w:r w:rsidRPr="00AE33D8">
        <w:rPr>
          <w:rFonts w:ascii="David" w:eastAsia="Calibri" w:hAnsi="David"/>
          <w:b/>
          <w:bCs/>
          <w:noProof w:val="0"/>
          <w:rtl/>
        </w:rPr>
        <w:t>ביניש-עדיאל נ' דניה סיבוס חברה לבנין בע"מ</w:t>
      </w:r>
      <w:r w:rsidRPr="00AE33D8">
        <w:rPr>
          <w:rFonts w:ascii="David" w:eastAsia="Calibri" w:hAnsi="David"/>
          <w:noProof w:val="0"/>
          <w:rtl/>
        </w:rPr>
        <w:t xml:space="preserve">, פ"ד מז (5) 114, 126-125 (1993) נקבע שאופן חישובו של שכר הטרחה הראוי, הוא תלוי משתנים רבים ואינו בגדר רשימה סגורה. בבג"צ 891/05 </w:t>
      </w:r>
      <w:r w:rsidRPr="00AE33D8">
        <w:rPr>
          <w:rFonts w:ascii="David" w:eastAsia="Calibri" w:hAnsi="David"/>
          <w:b/>
          <w:bCs/>
          <w:noProof w:val="0"/>
          <w:rtl/>
        </w:rPr>
        <w:t>תנובה נ' הרשות המוסמכת</w:t>
      </w:r>
      <w:r w:rsidRPr="00AE33D8">
        <w:rPr>
          <w:rFonts w:ascii="David" w:eastAsia="Calibri" w:hAnsi="David"/>
          <w:noProof w:val="0"/>
          <w:rtl/>
        </w:rPr>
        <w:t xml:space="preserve"> (30.6.2005), נקבע כי לאחר ניתוח של </w:t>
      </w:r>
      <w:r w:rsidRPr="00AE33D8">
        <w:rPr>
          <w:rFonts w:ascii="David" w:eastAsia="Calibri" w:hAnsi="David"/>
          <w:noProof w:val="0"/>
          <w:rtl/>
        </w:rPr>
        <w:lastRenderedPageBreak/>
        <w:t xml:space="preserve">תכלית חיוב בעל דין בהוצאות רעהו, והתייחסות למצב בארצות שונות, אמת המידה הנכונה לחיוב שכר טרחת עורך דין הוא, כי ההוצאות צריכות להיות סבירות, הכרחיות ומידתיות. במסגרת הקווים המנחים לשימוש באותן אמות מידה נקבע, כי התעריף המינימאלי אינו משמש כאמת מידה אלא רק רף תחתון; יש להתחשב בהתנהגות הצדדים ובדרך שבה ניהלו את ההליך; יש להתחשב בסעד המבוקש או הסכום השנוי במחלוקת ובמורכבות התיק והזמן שהושקע בהכנתו; השיקול האחרון המוזכר הוא חשיבות העניין עבור בעלי הדין. </w:t>
      </w:r>
    </w:p>
    <w:p w:rsidR="00AE33D8" w:rsidRPr="00AE33D8" w:rsidRDefault="00AE33D8" w:rsidP="00465AE3">
      <w:pPr>
        <w:numPr>
          <w:ilvl w:val="0"/>
          <w:numId w:val="11"/>
        </w:numPr>
        <w:spacing w:after="240" w:line="360" w:lineRule="auto"/>
        <w:ind w:left="0" w:firstLine="0"/>
        <w:jc w:val="both"/>
        <w:rPr>
          <w:rFonts w:ascii="David" w:hAnsi="David"/>
        </w:rPr>
      </w:pPr>
      <w:r w:rsidRPr="00AE33D8">
        <w:rPr>
          <w:rtl/>
        </w:rPr>
        <w:t xml:space="preserve">בנסיבות אלה ולאחר ששקלתי את כל השיקולים הרלוונטיים כמפורט לעיל, מהות ההליך והיקפו, היקפם של כתבי בי-דין והבקשות בתיק, התנהלות הצדדים לאורך ניהול ההליך, שאופיין בהעדר שקיפות מצד הנתבע והעדר גילוי של המידע הנדרש מבעל דין בתביעת מזונות, ומשמצאתי את עדותו לא מהימנה במספר מוקדים, ומנגד קבלה חלקית בלבד של עתירות התובעת, נחה דעתי כי הסכום הסביר והמידתי שיש לפסוק בנסיבות העניין כשכר טרחה כולל, והוצאות עבור התובעת הוא בסך </w:t>
      </w:r>
      <w:r w:rsidRPr="00AE33D8">
        <w:rPr>
          <w:color w:val="000000"/>
          <w:rtl/>
        </w:rPr>
        <w:t>כולל של 40,000 ₪ כולל מע"מ (להלן- "</w:t>
      </w:r>
      <w:r w:rsidRPr="00AE33D8">
        <w:rPr>
          <w:b/>
          <w:bCs/>
          <w:color w:val="000000"/>
          <w:rtl/>
        </w:rPr>
        <w:t>ההוצאות</w:t>
      </w:r>
      <w:r w:rsidRPr="00AE33D8">
        <w:rPr>
          <w:color w:val="000000"/>
          <w:rtl/>
        </w:rPr>
        <w:t>")</w:t>
      </w:r>
      <w:r w:rsidRPr="00AE33D8">
        <w:rPr>
          <w:rFonts w:ascii="David" w:hAnsi="David"/>
          <w:rtl/>
        </w:rPr>
        <w:t>.</w:t>
      </w:r>
    </w:p>
    <w:p w:rsidR="00AE33D8" w:rsidRDefault="00AE33D8" w:rsidP="00465AE3">
      <w:pPr>
        <w:numPr>
          <w:ilvl w:val="0"/>
          <w:numId w:val="11"/>
        </w:numPr>
        <w:spacing w:after="120" w:line="360" w:lineRule="auto"/>
        <w:ind w:left="0" w:firstLine="0"/>
        <w:contextualSpacing/>
        <w:jc w:val="both"/>
      </w:pPr>
      <w:r w:rsidRPr="00AE33D8">
        <w:rPr>
          <w:rtl/>
        </w:rPr>
        <w:t xml:space="preserve"> </w:t>
      </w:r>
      <w:r w:rsidRPr="00AE33D8">
        <w:rPr>
          <w:rFonts w:hint="cs"/>
          <w:rtl/>
        </w:rPr>
        <w:t>ההוצאות ישלמו על ידי המבקש למתנגדת בתוך 30 יום מיום קבלת פסק הדין אצל התובעת, וככל שלא ישולמו עד למועד שנקבע יישאו הפרשי ריבית והצמדה כחוק מהמועד שנועד לתשלום ועד לתשלום בפועל.</w:t>
      </w:r>
    </w:p>
    <w:p w:rsidR="00465AE3" w:rsidRPr="00AE33D8" w:rsidRDefault="00465AE3" w:rsidP="00465AE3">
      <w:pPr>
        <w:spacing w:after="120"/>
        <w:contextualSpacing/>
        <w:jc w:val="both"/>
      </w:pPr>
    </w:p>
    <w:p w:rsidR="00AE33D8" w:rsidRPr="00AE33D8" w:rsidRDefault="00AE33D8" w:rsidP="00465AE3">
      <w:pPr>
        <w:numPr>
          <w:ilvl w:val="0"/>
          <w:numId w:val="11"/>
        </w:numPr>
        <w:spacing w:after="240" w:line="360" w:lineRule="auto"/>
        <w:ind w:left="0" w:firstLine="0"/>
        <w:contextualSpacing/>
        <w:jc w:val="both"/>
        <w:rPr>
          <w:rFonts w:ascii="Arial" w:hAnsi="Arial"/>
          <w:noProof w:val="0"/>
          <w:rtl/>
        </w:rPr>
      </w:pPr>
      <w:r w:rsidRPr="00AE33D8">
        <w:rPr>
          <w:rFonts w:ascii="Arial" w:hAnsi="Arial"/>
          <w:noProof w:val="0"/>
          <w:rtl/>
        </w:rPr>
        <w:t>המזכירות תמציא את פסק הדין לצדדים ותסגור את התיק.</w:t>
      </w:r>
    </w:p>
    <w:p w:rsidR="00AE33D8" w:rsidRPr="00AE33D8" w:rsidRDefault="00AE33D8" w:rsidP="00465AE3">
      <w:pPr>
        <w:spacing w:after="120" w:line="276" w:lineRule="auto"/>
        <w:contextualSpacing/>
        <w:rPr>
          <w:rFonts w:ascii="Arial" w:hAnsi="Arial"/>
          <w:noProof w:val="0"/>
        </w:rPr>
      </w:pPr>
    </w:p>
    <w:p w:rsidR="00AE33D8" w:rsidRPr="00AE33D8" w:rsidRDefault="00AE33D8" w:rsidP="00465AE3">
      <w:pPr>
        <w:numPr>
          <w:ilvl w:val="0"/>
          <w:numId w:val="11"/>
        </w:numPr>
        <w:spacing w:after="120" w:line="360" w:lineRule="auto"/>
        <w:ind w:left="0" w:firstLine="0"/>
        <w:contextualSpacing/>
        <w:jc w:val="both"/>
        <w:rPr>
          <w:rFonts w:ascii="Arial" w:hAnsi="Arial"/>
          <w:noProof w:val="0"/>
          <w:rtl/>
        </w:rPr>
      </w:pPr>
      <w:r w:rsidRPr="00AE33D8">
        <w:rPr>
          <w:rFonts w:ascii="Arial" w:hAnsi="Arial"/>
          <w:noProof w:val="0"/>
          <w:rtl/>
        </w:rPr>
        <w:t>פסק הדין ניתן לפרסום בהשמטת פרטים מזהים.</w:t>
      </w:r>
    </w:p>
    <w:p w:rsidR="00AE33D8" w:rsidRPr="00AE33D8" w:rsidRDefault="00AE33D8" w:rsidP="00465AE3">
      <w:pPr>
        <w:spacing w:after="120" w:line="276" w:lineRule="auto"/>
        <w:contextualSpacing/>
        <w:rPr>
          <w:rFonts w:ascii="Arial" w:hAnsi="Arial"/>
          <w:noProof w:val="0"/>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כ"ז אדר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20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7440E9">
      <w:pPr>
        <w:spacing w:line="360" w:lineRule="auto"/>
        <w:ind w:left="3600" w:firstLine="720"/>
        <w:jc w:val="right"/>
      </w:pPr>
      <w:sdt>
        <w:sdtPr>
          <w:rPr>
            <w:rtl/>
          </w:rPr>
          <w:alias w:val="MergeField"/>
          <w:tag w:val="1237"/>
          <w:id w:val="-155462927"/>
        </w:sdtPr>
        <w:sdtEndPr/>
        <w:sdtContent>
          <w:r w:rsidR="00CE7342">
            <w:drawing>
              <wp:inline distT="0" distB="0" distL="0" distR="0" wp14:editId="50D07946">
                <wp:extent cx="1771650"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771650" cy="50482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22"/>
      <w:footerReference w:type="default" r:id="rId23"/>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0E9" w:rsidRDefault="007440E9">
      <w:r>
        <w:separator/>
      </w:r>
    </w:p>
  </w:endnote>
  <w:endnote w:type="continuationSeparator" w:id="0">
    <w:p w:rsidR="007440E9" w:rsidRDefault="0074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23CC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23CCC">
      <w:rPr>
        <w:rStyle w:val="ab"/>
        <w:rtl/>
      </w:rPr>
      <w:t>30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0E9" w:rsidRDefault="007440E9">
      <w:r>
        <w:separator/>
      </w:r>
    </w:p>
  </w:footnote>
  <w:footnote w:type="continuationSeparator" w:id="0">
    <w:p w:rsidR="007440E9" w:rsidRDefault="0074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5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7440E9" w:rsidP="00F4638A">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62382-01-20</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ט</w:t>
              </w:r>
              <w:r w:rsidR="00F4638A">
                <w:rPr>
                  <w:rFonts w:hint="cs"/>
                  <w:b/>
                  <w:bCs/>
                  <w:noProof w:val="0"/>
                  <w:sz w:val="26"/>
                  <w:szCs w:val="26"/>
                  <w:rtl/>
                </w:rPr>
                <w:t>.</w:t>
              </w:r>
              <w:r w:rsidR="00BD18F5">
                <w:rPr>
                  <w:b/>
                  <w:bCs/>
                  <w:noProof w:val="0"/>
                  <w:sz w:val="26"/>
                  <w:szCs w:val="26"/>
                  <w:rtl/>
                </w:rPr>
                <w:t xml:space="preserve"> נ' ט</w:t>
              </w:r>
              <w:r w:rsidR="00F4638A">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5DD"/>
    <w:multiLevelType w:val="hybridMultilevel"/>
    <w:tmpl w:val="D85CBA1A"/>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2CA76F8"/>
    <w:multiLevelType w:val="hybridMultilevel"/>
    <w:tmpl w:val="B3F687EA"/>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ADB0301"/>
    <w:multiLevelType w:val="hybridMultilevel"/>
    <w:tmpl w:val="A88C91E2"/>
    <w:lvl w:ilvl="0" w:tplc="35289A20">
      <w:start w:val="1"/>
      <w:numFmt w:val="hebrew1"/>
      <w:lvlText w:val="%1."/>
      <w:lvlJc w:val="center"/>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D6849EE"/>
    <w:multiLevelType w:val="hybridMultilevel"/>
    <w:tmpl w:val="FA82003C"/>
    <w:lvl w:ilvl="0" w:tplc="04090013">
      <w:start w:val="1"/>
      <w:numFmt w:val="hebrew1"/>
      <w:lvlText w:val="%1."/>
      <w:lvlJc w:val="center"/>
      <w:pPr>
        <w:ind w:left="5493" w:hanging="360"/>
      </w:pPr>
    </w:lvl>
    <w:lvl w:ilvl="1" w:tplc="04090019">
      <w:start w:val="1"/>
      <w:numFmt w:val="lowerLetter"/>
      <w:lvlText w:val="%2."/>
      <w:lvlJc w:val="left"/>
      <w:pPr>
        <w:ind w:left="6213" w:hanging="360"/>
      </w:pPr>
    </w:lvl>
    <w:lvl w:ilvl="2" w:tplc="0409001B">
      <w:start w:val="1"/>
      <w:numFmt w:val="lowerRoman"/>
      <w:lvlText w:val="%3."/>
      <w:lvlJc w:val="right"/>
      <w:pPr>
        <w:ind w:left="6933" w:hanging="180"/>
      </w:pPr>
    </w:lvl>
    <w:lvl w:ilvl="3" w:tplc="0409000F">
      <w:start w:val="1"/>
      <w:numFmt w:val="decimal"/>
      <w:lvlText w:val="%4."/>
      <w:lvlJc w:val="left"/>
      <w:pPr>
        <w:ind w:left="7653" w:hanging="360"/>
      </w:pPr>
    </w:lvl>
    <w:lvl w:ilvl="4" w:tplc="04090019">
      <w:start w:val="1"/>
      <w:numFmt w:val="lowerLetter"/>
      <w:lvlText w:val="%5."/>
      <w:lvlJc w:val="left"/>
      <w:pPr>
        <w:ind w:left="8373" w:hanging="360"/>
      </w:pPr>
    </w:lvl>
    <w:lvl w:ilvl="5" w:tplc="0409001B">
      <w:start w:val="1"/>
      <w:numFmt w:val="lowerRoman"/>
      <w:lvlText w:val="%6."/>
      <w:lvlJc w:val="right"/>
      <w:pPr>
        <w:ind w:left="9093" w:hanging="180"/>
      </w:pPr>
    </w:lvl>
    <w:lvl w:ilvl="6" w:tplc="0409000F">
      <w:start w:val="1"/>
      <w:numFmt w:val="decimal"/>
      <w:lvlText w:val="%7."/>
      <w:lvlJc w:val="left"/>
      <w:pPr>
        <w:ind w:left="9813" w:hanging="360"/>
      </w:pPr>
    </w:lvl>
    <w:lvl w:ilvl="7" w:tplc="04090019">
      <w:start w:val="1"/>
      <w:numFmt w:val="lowerLetter"/>
      <w:lvlText w:val="%8."/>
      <w:lvlJc w:val="left"/>
      <w:pPr>
        <w:ind w:left="10533" w:hanging="360"/>
      </w:pPr>
    </w:lvl>
    <w:lvl w:ilvl="8" w:tplc="0409001B">
      <w:start w:val="1"/>
      <w:numFmt w:val="lowerRoman"/>
      <w:lvlText w:val="%9."/>
      <w:lvlJc w:val="right"/>
      <w:pPr>
        <w:ind w:left="11253" w:hanging="180"/>
      </w:pPr>
    </w:lvl>
  </w:abstractNum>
  <w:abstractNum w:abstractNumId="4" w15:restartNumberingAfterBreak="0">
    <w:nsid w:val="1E427A50"/>
    <w:multiLevelType w:val="multilevel"/>
    <w:tmpl w:val="1346E716"/>
    <w:lvl w:ilvl="0">
      <w:start w:val="44"/>
      <w:numFmt w:val="decimal"/>
      <w:lvlText w:val="%1."/>
      <w:lvlJc w:val="left"/>
      <w:pPr>
        <w:ind w:left="1069" w:hanging="360"/>
      </w:pPr>
      <w:rPr>
        <w:b w:val="0"/>
        <w:bCs w:val="0"/>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13F3420"/>
    <w:multiLevelType w:val="hybridMultilevel"/>
    <w:tmpl w:val="CAD24E34"/>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239D7A8D"/>
    <w:multiLevelType w:val="hybridMultilevel"/>
    <w:tmpl w:val="24727A5A"/>
    <w:lvl w:ilvl="0" w:tplc="49BE8236">
      <w:start w:val="1"/>
      <w:numFmt w:val="hebrew1"/>
      <w:lvlText w:val="%1."/>
      <w:lvlJc w:val="center"/>
      <w:pPr>
        <w:ind w:left="1440" w:hanging="360"/>
      </w:pPr>
      <w:rPr>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374D55B5"/>
    <w:multiLevelType w:val="hybridMultilevel"/>
    <w:tmpl w:val="A6221148"/>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05421B9"/>
    <w:multiLevelType w:val="hybridMultilevel"/>
    <w:tmpl w:val="7FEAAC9C"/>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3670416"/>
    <w:multiLevelType w:val="hybridMultilevel"/>
    <w:tmpl w:val="78082512"/>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4AA72984"/>
    <w:multiLevelType w:val="hybridMultilevel"/>
    <w:tmpl w:val="C796723C"/>
    <w:lvl w:ilvl="0" w:tplc="8A94D20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D1B5696"/>
    <w:multiLevelType w:val="multilevel"/>
    <w:tmpl w:val="1DB899A0"/>
    <w:lvl w:ilvl="0">
      <w:start w:val="1"/>
      <w:numFmt w:val="decimal"/>
      <w:lvlText w:val="%1."/>
      <w:lvlJc w:val="left"/>
      <w:pPr>
        <w:ind w:left="2628" w:hanging="360"/>
      </w:pPr>
      <w:rPr>
        <w:b w:val="0"/>
        <w:bCs w:val="0"/>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3830F76"/>
    <w:multiLevelType w:val="hybridMultilevel"/>
    <w:tmpl w:val="341C8EFC"/>
    <w:lvl w:ilvl="0" w:tplc="0C16131A">
      <w:start w:val="2"/>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6046251D"/>
    <w:multiLevelType w:val="hybridMultilevel"/>
    <w:tmpl w:val="29DE7504"/>
    <w:lvl w:ilvl="0" w:tplc="806AE578">
      <w:start w:val="46"/>
      <w:numFmt w:val="decimal"/>
      <w:lvlText w:val="%1."/>
      <w:lvlJc w:val="left"/>
      <w:pPr>
        <w:ind w:left="1069" w:hanging="360"/>
      </w:pPr>
      <w:rPr>
        <w:b w:val="0"/>
        <w:bCs w:val="0"/>
        <w:color w:val="00000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4" w15:restartNumberingAfterBreak="0">
    <w:nsid w:val="64B665B3"/>
    <w:multiLevelType w:val="hybridMultilevel"/>
    <w:tmpl w:val="46E660A4"/>
    <w:lvl w:ilvl="0" w:tplc="BABC5FF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7A97DFA"/>
    <w:multiLevelType w:val="hybridMultilevel"/>
    <w:tmpl w:val="2958876E"/>
    <w:lvl w:ilvl="0" w:tplc="AE60236C">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317A13"/>
    <w:multiLevelType w:val="hybridMultilevel"/>
    <w:tmpl w:val="F43C4D5A"/>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754D5111"/>
    <w:multiLevelType w:val="hybridMultilevel"/>
    <w:tmpl w:val="058066F4"/>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E9D13E8"/>
    <w:multiLevelType w:val="hybridMultilevel"/>
    <w:tmpl w:val="ABB02442"/>
    <w:lvl w:ilvl="0" w:tplc="04090013">
      <w:start w:val="1"/>
      <w:numFmt w:val="hebrew1"/>
      <w:lvlText w:val="%1."/>
      <w:lvlJc w:val="center"/>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223CCC"/>
    <w:rsid w:val="00265648"/>
    <w:rsid w:val="002914D6"/>
    <w:rsid w:val="002F5307"/>
    <w:rsid w:val="004309DA"/>
    <w:rsid w:val="00434AE3"/>
    <w:rsid w:val="00434EED"/>
    <w:rsid w:val="00465AE3"/>
    <w:rsid w:val="004C787A"/>
    <w:rsid w:val="004F275E"/>
    <w:rsid w:val="004F504D"/>
    <w:rsid w:val="005F7457"/>
    <w:rsid w:val="00666802"/>
    <w:rsid w:val="006C4051"/>
    <w:rsid w:val="006E1775"/>
    <w:rsid w:val="006E4076"/>
    <w:rsid w:val="007440E9"/>
    <w:rsid w:val="00775922"/>
    <w:rsid w:val="007C1077"/>
    <w:rsid w:val="007C6BD7"/>
    <w:rsid w:val="007F4384"/>
    <w:rsid w:val="00822AA5"/>
    <w:rsid w:val="00866529"/>
    <w:rsid w:val="0091072C"/>
    <w:rsid w:val="009108D7"/>
    <w:rsid w:val="009377D2"/>
    <w:rsid w:val="00960E29"/>
    <w:rsid w:val="009D6BD5"/>
    <w:rsid w:val="00A04AFF"/>
    <w:rsid w:val="00AE33D8"/>
    <w:rsid w:val="00BD18F5"/>
    <w:rsid w:val="00BD5B6B"/>
    <w:rsid w:val="00C40239"/>
    <w:rsid w:val="00C931BD"/>
    <w:rsid w:val="00CE7342"/>
    <w:rsid w:val="00D358FE"/>
    <w:rsid w:val="00D35DB3"/>
    <w:rsid w:val="00D540B7"/>
    <w:rsid w:val="00D54B3A"/>
    <w:rsid w:val="00D56C4B"/>
    <w:rsid w:val="00DA2BFA"/>
    <w:rsid w:val="00E400B2"/>
    <w:rsid w:val="00E9298F"/>
    <w:rsid w:val="00F12B46"/>
    <w:rsid w:val="00F4638A"/>
    <w:rsid w:val="00F50E07"/>
    <w:rsid w:val="00F706EB"/>
    <w:rsid w:val="00F83B6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E3CE453-5B61-4304-885F-693FD82D3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table" w:customStyle="1" w:styleId="1">
    <w:name w:val="רשת טבלה1"/>
    <w:basedOn w:val="a1"/>
    <w:next w:val="a9"/>
    <w:rsid w:val="00AE33D8"/>
    <w:pPr>
      <w:spacing w:after="120" w:line="276" w:lineRule="auto"/>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434A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380984">
      <w:bodyDiv w:val="1"/>
      <w:marLeft w:val="0"/>
      <w:marRight w:val="0"/>
      <w:marTop w:val="0"/>
      <w:marBottom w:val="0"/>
      <w:divBdr>
        <w:top w:val="none" w:sz="0" w:space="0" w:color="auto"/>
        <w:left w:val="none" w:sz="0" w:space="0" w:color="auto"/>
        <w:bottom w:val="none" w:sz="0" w:space="0" w:color="auto"/>
        <w:right w:val="none" w:sz="0" w:space="0" w:color="auto"/>
      </w:divBdr>
    </w:div>
    <w:div w:id="796995566">
      <w:bodyDiv w:val="1"/>
      <w:marLeft w:val="0"/>
      <w:marRight w:val="0"/>
      <w:marTop w:val="0"/>
      <w:marBottom w:val="0"/>
      <w:divBdr>
        <w:top w:val="none" w:sz="0" w:space="0" w:color="auto"/>
        <w:left w:val="none" w:sz="0" w:space="0" w:color="auto"/>
        <w:bottom w:val="none" w:sz="0" w:space="0" w:color="auto"/>
        <w:right w:val="none" w:sz="0" w:space="0" w:color="auto"/>
      </w:divBdr>
    </w:div>
    <w:div w:id="822821570">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yperlink" Target="http://www.nevo.co.il/case/2507939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jp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nevo.co.il/case/25833785"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nevo.co.il/case/26224818" TargetMode="External"/><Relationship Id="rId20" Type="http://schemas.openxmlformats.org/officeDocument/2006/relationships/hyperlink" Target="http://www.nevo.co.il/case/26224818"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evo.co.il/case/26091948" TargetMode="External"/><Relationship Id="rId23" Type="http://schemas.openxmlformats.org/officeDocument/2006/relationships/footer" Target="footer1.xml"/><Relationship Id="rId10" Type="http://schemas.openxmlformats.org/officeDocument/2006/relationships/hyperlink" Target="http://www.nevo.co.il/case/24307183" TargetMode="External"/><Relationship Id="rId19" Type="http://schemas.openxmlformats.org/officeDocument/2006/relationships/hyperlink" Target="http://www.nevo.co.il/case/23777152" TargetMode="External"/><Relationship Id="rId4" Type="http://schemas.openxmlformats.org/officeDocument/2006/relationships/settings" Target="settings.xml"/><Relationship Id="rId9" Type="http://schemas.openxmlformats.org/officeDocument/2006/relationships/hyperlink" Target="http://www.nevo.co.il/case/20033485" TargetMode="External"/><Relationship Id="rId14" Type="http://schemas.openxmlformats.org/officeDocument/2006/relationships/hyperlink" Target="http://www.nevo.co.il/case/25083103"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156EB3"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56EB3"/>
    <w:rsid w:val="002622B5"/>
    <w:rsid w:val="0038526D"/>
    <w:rsid w:val="006D467C"/>
    <w:rsid w:val="00A32E59"/>
    <w:rsid w:val="00B0779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8898</Words>
  <Characters>44491</Characters>
  <Application>Microsoft Office Word</Application>
  <DocSecurity>0</DocSecurity>
  <Lines>370</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2023-03-20T15:04:00Z</cp:lastPrinted>
  <dcterms:created xsi:type="dcterms:W3CDTF">2023-05-02T13:21:00Z</dcterms:created>
  <dcterms:modified xsi:type="dcterms:W3CDTF">2023-05-02T13:21:00Z</dcterms:modified>
</cp:coreProperties>
</file>